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枣庄市峄城区人民政府文件</w:t>
      </w:r>
    </w:p>
    <w:p>
      <w:pPr>
        <w:rPr>
          <w:rFonts w:hint="eastAsia"/>
        </w:rPr>
      </w:pPr>
    </w:p>
    <w:p>
      <w:pPr>
        <w:rPr>
          <w:rFonts w:hint="eastAsia"/>
        </w:rPr>
      </w:pPr>
    </w:p>
    <w:p>
      <w:pPr>
        <w:rPr>
          <w:rFonts w:hint="eastAsia"/>
        </w:rPr>
      </w:pPr>
    </w:p>
    <w:p>
      <w:pPr>
        <w:rPr>
          <w:rFonts w:hint="eastAsia"/>
        </w:rPr>
      </w:pPr>
    </w:p>
    <w:p>
      <w:pPr>
        <w:snapToGrid w:val="0"/>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峄政字〔20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13 </w:t>
      </w:r>
      <w:r>
        <w:rPr>
          <w:rFonts w:hint="default" w:ascii="Times New Roman" w:hAnsi="Times New Roman" w:eastAsia="仿宋_GB2312" w:cs="Times New Roman"/>
          <w:color w:val="000000"/>
          <w:sz w:val="32"/>
          <w:szCs w:val="32"/>
        </w:rPr>
        <w:t>号</w:t>
      </w:r>
    </w:p>
    <w:p>
      <w:pPr>
        <w:rPr>
          <w:rFonts w:hint="eastAsia"/>
        </w:rPr>
      </w:pPr>
    </w:p>
    <w:p>
      <w:pPr>
        <w:rPr>
          <w:rFonts w:hint="eastAsia"/>
        </w:rPr>
      </w:pPr>
    </w:p>
    <w:p>
      <w:pPr>
        <w:rPr>
          <w:rFonts w:hint="eastAsia"/>
        </w:rPr>
      </w:pPr>
      <w:r>
        <w:rPr>
          <w:rFonts w:hint="eastAsia" w:ascii="方正大标宋简体" w:eastAsia="方正大标宋简体"/>
          <w:color w:val="FF0000"/>
          <w:sz w:val="140"/>
          <w:szCs w:val="14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7.8pt;height:0pt;width:432pt;z-index:251658240;mso-width-relative:page;mso-height-relative:page;" filled="f" stroked="t" coordsize="21600,21600" o:gfxdata="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xsDPNMAAAAGAQAADwAAAAAAAAABACAAAAA4AAAAZHJzL2Rvd25yZXYueG1sUEsBAhQAFAAA&#10;AAgAh07iQMwSbE7eAQAAmgMAAA4AAAAAAAAAAQAgAAAAOAEAAGRycy9lMm9Eb2MueG1sUEsFBgAA&#10;AAAGAAYAWQEAAIgFAAAAAA==&#10;">
                <v:fill on="f" focussize="0,0"/>
                <v:stroke weight="1.75pt" color="#FF0000" joinstyle="round"/>
                <v:imagedata o:title=""/>
                <o:lock v:ext="edit" aspectratio="f"/>
              </v:line>
            </w:pict>
          </mc:Fallback>
        </mc:AlternateContent>
      </w:r>
    </w:p>
    <w:p>
      <w:pPr>
        <w:rPr>
          <w:rFonts w:hint="eastAsia"/>
        </w:rPr>
      </w:pPr>
    </w:p>
    <w:p>
      <w:pPr>
        <w:spacing w:line="284" w:lineRule="auto"/>
        <w:rPr>
          <w:rFonts w:ascii="宋体"/>
          <w:sz w:val="21"/>
        </w:rPr>
      </w:pPr>
    </w:p>
    <w:p>
      <w:pPr>
        <w:spacing w:before="143" w:line="181" w:lineRule="auto"/>
        <w:ind w:firstLine="2898"/>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lang w:eastAsia="zh-CN"/>
        </w:rPr>
        <w:t>峄城区</w:t>
      </w:r>
      <w:r>
        <w:rPr>
          <w:rFonts w:hint="eastAsia" w:ascii="方正小标宋简体" w:hAnsi="方正小标宋简体" w:eastAsia="方正小标宋简体" w:cs="方正小标宋简体"/>
          <w:spacing w:val="-10"/>
          <w:sz w:val="44"/>
          <w:szCs w:val="44"/>
        </w:rPr>
        <w:t>人民政府</w:t>
      </w:r>
    </w:p>
    <w:p>
      <w:pPr>
        <w:spacing w:before="165" w:line="183" w:lineRule="auto"/>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关于公布</w:t>
      </w:r>
      <w:r>
        <w:rPr>
          <w:rFonts w:hint="eastAsia" w:ascii="方正小标宋简体" w:hAnsi="方正小标宋简体" w:eastAsia="方正小标宋简体" w:cs="方正小标宋简体"/>
          <w:spacing w:val="-11"/>
          <w:sz w:val="44"/>
          <w:szCs w:val="44"/>
          <w:lang w:eastAsia="zh-CN"/>
        </w:rPr>
        <w:t>峄城区区</w:t>
      </w:r>
      <w:r>
        <w:rPr>
          <w:rFonts w:hint="eastAsia" w:ascii="方正小标宋简体" w:hAnsi="方正小标宋简体" w:eastAsia="方正小标宋简体" w:cs="方正小标宋简体"/>
          <w:spacing w:val="-11"/>
          <w:sz w:val="44"/>
          <w:szCs w:val="44"/>
        </w:rPr>
        <w:t>级政务服务事项</w:t>
      </w:r>
    </w:p>
    <w:p>
      <w:pPr>
        <w:spacing w:before="165" w:line="183"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2"/>
          <w:sz w:val="44"/>
          <w:szCs w:val="44"/>
        </w:rPr>
        <w:t>中介服务项目清单的通知</w:t>
      </w:r>
    </w:p>
    <w:p>
      <w:pPr>
        <w:spacing w:line="341" w:lineRule="auto"/>
        <w:rPr>
          <w:rFonts w:ascii="宋体"/>
          <w:sz w:val="21"/>
        </w:rPr>
      </w:pPr>
    </w:p>
    <w:p>
      <w:pPr>
        <w:spacing w:line="342"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53" w:right="91" w:hanging="14"/>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eastAsia="zh-CN"/>
        </w:rPr>
        <w:t>镇</w:t>
      </w:r>
      <w:r>
        <w:rPr>
          <w:rFonts w:hint="eastAsia" w:ascii="仿宋_GB2312" w:hAnsi="仿宋_GB2312" w:eastAsia="仿宋_GB2312" w:cs="仿宋_GB2312"/>
          <w:spacing w:val="0"/>
          <w:sz w:val="32"/>
          <w:szCs w:val="32"/>
        </w:rPr>
        <w:t>人民政府</w:t>
      </w:r>
      <w:r>
        <w:rPr>
          <w:rFonts w:hint="eastAsia" w:ascii="仿宋_GB2312" w:hAnsi="仿宋_GB2312" w:eastAsia="仿宋_GB2312" w:cs="仿宋_GB2312"/>
          <w:spacing w:val="0"/>
          <w:sz w:val="32"/>
          <w:szCs w:val="32"/>
          <w:lang w:eastAsia="zh-CN"/>
        </w:rPr>
        <w:t>、街道办事处</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开发区</w:t>
      </w:r>
      <w:r>
        <w:rPr>
          <w:rFonts w:hint="eastAsia" w:ascii="仿宋_GB2312" w:hAnsi="仿宋_GB2312" w:eastAsia="仿宋_GB2312" w:cs="仿宋_GB2312"/>
          <w:spacing w:val="0"/>
          <w:sz w:val="32"/>
          <w:szCs w:val="32"/>
        </w:rPr>
        <w:t>管委会，各部门单位，各大企业：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40" w:right="15" w:firstLine="607"/>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为进一步深化我</w:t>
      </w:r>
      <w:r>
        <w:rPr>
          <w:rFonts w:hint="eastAsia" w:ascii="仿宋_GB2312" w:hAnsi="仿宋_GB2312" w:eastAsia="仿宋_GB2312" w:cs="仿宋_GB2312"/>
          <w:spacing w:val="0"/>
          <w:sz w:val="32"/>
          <w:szCs w:val="32"/>
          <w:lang w:eastAsia="zh-CN"/>
        </w:rPr>
        <w:t>区</w:t>
      </w:r>
      <w:r>
        <w:rPr>
          <w:rFonts w:hint="eastAsia" w:ascii="仿宋_GB2312" w:hAnsi="仿宋_GB2312" w:eastAsia="仿宋_GB2312" w:cs="仿宋_GB2312"/>
          <w:spacing w:val="0"/>
          <w:sz w:val="32"/>
          <w:szCs w:val="32"/>
        </w:rPr>
        <w:t>放管服改革，全面优化营商环境，加强对中介服务的规范管理，按照《山东省人民政府办公厅关于印发山东省网上“中介超市”整合运行工作方案的通知》（鲁政办字〔2021〕85 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枣庄市人民政府关于公布枣庄市市级政务服务事项中介服务项目清单的通知</w:t>
      </w:r>
      <w:r>
        <w:rPr>
          <w:rFonts w:hint="eastAsia" w:ascii="仿宋_GB2312" w:hAnsi="仿宋_GB2312" w:eastAsia="仿宋_GB2312" w:cs="仿宋_GB2312"/>
          <w:spacing w:val="0"/>
          <w:sz w:val="32"/>
          <w:szCs w:val="32"/>
          <w:lang w:eastAsia="zh-CN"/>
        </w:rPr>
        <w:t>》（枣</w:t>
      </w:r>
      <w:r>
        <w:rPr>
          <w:rFonts w:hint="eastAsia" w:ascii="仿宋_GB2312" w:hAnsi="仿宋_GB2312" w:eastAsia="仿宋_GB2312" w:cs="仿宋_GB2312"/>
          <w:spacing w:val="0"/>
          <w:sz w:val="32"/>
          <w:szCs w:val="32"/>
        </w:rPr>
        <w:t>政字〔2021〕</w:t>
      </w:r>
      <w:r>
        <w:rPr>
          <w:rFonts w:hint="eastAsia" w:ascii="仿宋_GB2312" w:hAnsi="仿宋_GB2312" w:eastAsia="仿宋_GB2312" w:cs="仿宋_GB2312"/>
          <w:spacing w:val="0"/>
          <w:sz w:val="32"/>
          <w:szCs w:val="32"/>
          <w:lang w:val="en-US" w:eastAsia="zh-CN"/>
        </w:rPr>
        <w:t>21号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有关要求，编制了《</w:t>
      </w:r>
      <w:r>
        <w:rPr>
          <w:rFonts w:hint="eastAsia" w:ascii="仿宋_GB2312" w:hAnsi="仿宋_GB2312" w:eastAsia="仿宋_GB2312" w:cs="仿宋_GB2312"/>
          <w:spacing w:val="0"/>
          <w:sz w:val="32"/>
          <w:szCs w:val="32"/>
          <w:lang w:eastAsia="zh-CN"/>
        </w:rPr>
        <w:t>峄城区区</w:t>
      </w:r>
      <w:r>
        <w:rPr>
          <w:rFonts w:hint="eastAsia" w:ascii="仿宋_GB2312" w:hAnsi="仿宋_GB2312" w:eastAsia="仿宋_GB2312" w:cs="仿宋_GB2312"/>
          <w:spacing w:val="0"/>
          <w:sz w:val="32"/>
          <w:szCs w:val="32"/>
        </w:rPr>
        <w:t>级政务服务事项中介服务项目清单》（以下简称《清单》）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现予公布，并就有关事项通知如下：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40" w:right="15" w:firstLine="607"/>
        <w:jc w:val="both"/>
        <w:textAlignment w:val="baseline"/>
        <w:outlineLvl w:val="9"/>
        <w:rPr>
          <w:rFonts w:hint="eastAsia" w:ascii="仿宋_GB2312" w:hAnsi="仿宋_GB2312" w:eastAsia="仿宋_GB2312" w:cs="仿宋_GB2312"/>
          <w:spacing w:val="-12"/>
          <w:sz w:val="31"/>
          <w:szCs w:val="31"/>
        </w:rPr>
      </w:pPr>
      <w:r>
        <w:rPr>
          <w:rFonts w:hint="eastAsia" w:ascii="仿宋_GB2312" w:hAnsi="仿宋_GB2312" w:eastAsia="仿宋_GB2312" w:cs="仿宋_GB2312"/>
          <w:spacing w:val="0"/>
          <w:sz w:val="32"/>
          <w:szCs w:val="32"/>
          <w:lang w:eastAsia="zh-CN"/>
        </w:rPr>
        <w:t>区直</w:t>
      </w:r>
      <w:r>
        <w:rPr>
          <w:rFonts w:hint="eastAsia" w:ascii="仿宋_GB2312" w:hAnsi="仿宋_GB2312" w:eastAsia="仿宋_GB2312" w:cs="仿宋_GB2312"/>
          <w:spacing w:val="0"/>
          <w:sz w:val="32"/>
          <w:szCs w:val="32"/>
        </w:rPr>
        <w:t>有关部门单位要根据《清单》及时梳理政务事项有法定设立依据的中介服务项目，并在</w:t>
      </w:r>
      <w:r>
        <w:rPr>
          <w:rFonts w:hint="eastAsia" w:ascii="仿宋_GB2312" w:hAnsi="仿宋_GB2312" w:eastAsia="仿宋_GB2312" w:cs="仿宋_GB2312"/>
          <w:spacing w:val="0"/>
          <w:sz w:val="32"/>
          <w:szCs w:val="32"/>
          <w:lang w:eastAsia="zh-CN"/>
        </w:rPr>
        <w:t>区政府</w:t>
      </w:r>
      <w:r>
        <w:rPr>
          <w:rFonts w:hint="eastAsia" w:ascii="仿宋_GB2312" w:hAnsi="仿宋_GB2312" w:eastAsia="仿宋_GB2312" w:cs="仿宋_GB2312"/>
          <w:spacing w:val="0"/>
          <w:sz w:val="32"/>
          <w:szCs w:val="32"/>
        </w:rPr>
        <w:t>网站和窗口公开。公开内容包括中介服务项目名称、关联的政务服务事项名称、设定依据、收费标准及依据、服务时限、工作流程、申报条件等信息。凡未纳入《清单》的政务服务事项中介服务项目一律不得作为政务服务的受理条件，各部门单位不得以任何形式要求申请人委托中介服务机构开展服务，也不得要求申请人提供相关中介服务材料。对于自主类中介服务项目（申请人可以自己承担、也可以委托中介机构承担的项目）和委托类中介服务项目（由政务服务机构委托有关中介机构完成的项目），不纳入《清单》管理，由有关部门单位按照有关规定执行，并通过</w:t>
      </w:r>
      <w:r>
        <w:rPr>
          <w:rFonts w:hint="eastAsia" w:ascii="仿宋_GB2312" w:hAnsi="仿宋_GB2312" w:eastAsia="仿宋_GB2312" w:cs="仿宋_GB2312"/>
          <w:spacing w:val="0"/>
          <w:sz w:val="32"/>
          <w:szCs w:val="32"/>
          <w:lang w:eastAsia="zh-CN"/>
        </w:rPr>
        <w:t>区政府</w:t>
      </w:r>
      <w:r>
        <w:rPr>
          <w:rFonts w:hint="eastAsia" w:ascii="仿宋_GB2312" w:hAnsi="仿宋_GB2312" w:eastAsia="仿宋_GB2312" w:cs="仿宋_GB2312"/>
          <w:spacing w:val="0"/>
          <w:sz w:val="32"/>
          <w:szCs w:val="32"/>
        </w:rPr>
        <w:t>网站和服务窗口做好公开工作。各部门单位能够通过征求相关部门意见、加强事中事后监管解决的事项，以及申请人可按要求自行完成的事项，不得设定中介服务。依照规定应由各部门单位委托相关机构提供的技术性服务纳入政务服务程序，由各部门单位委托开展，不得增加或变相增加申请人的义务。现有或已取消的政务服务事项，不得转为中介服务。今后将根据法律法规立改废情况和改革要求，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清单》实行动态调整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严控新设中介服务项目，确需新设的，必须进行必要性、合理性、合法性审查论证，依照法定程序设定并纳入《清单》管理。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16"/>
        <w:jc w:val="both"/>
        <w:textAlignment w:val="baseline"/>
        <w:outlineLvl w:val="9"/>
        <w:rPr>
          <w:rFonts w:hint="eastAsia" w:ascii="仿宋_GB2312" w:hAnsi="仿宋_GB2312" w:eastAsia="仿宋_GB2312" w:cs="仿宋_GB2312"/>
          <w:spacing w:val="-12"/>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16"/>
        <w:jc w:val="both"/>
        <w:textAlignment w:val="baseline"/>
        <w:outlineLvl w:val="9"/>
        <w:rPr>
          <w:rFonts w:hint="eastAsia" w:ascii="仿宋_GB2312" w:hAnsi="仿宋_GB2312" w:eastAsia="仿宋_GB2312" w:cs="仿宋_GB2312"/>
          <w:sz w:val="21"/>
        </w:rPr>
      </w:pPr>
      <w:r>
        <w:rPr>
          <w:rFonts w:hint="eastAsia" w:ascii="仿宋_GB2312" w:hAnsi="仿宋_GB2312" w:eastAsia="仿宋_GB2312" w:cs="仿宋_GB2312"/>
          <w:spacing w:val="-12"/>
          <w:sz w:val="31"/>
          <w:szCs w:val="31"/>
        </w:rPr>
        <w:t>附件：</w:t>
      </w:r>
      <w:r>
        <w:rPr>
          <w:rFonts w:hint="eastAsia" w:ascii="仿宋_GB2312" w:hAnsi="仿宋_GB2312" w:eastAsia="仿宋_GB2312" w:cs="仿宋_GB2312"/>
          <w:spacing w:val="-12"/>
          <w:sz w:val="31"/>
          <w:szCs w:val="31"/>
          <w:lang w:eastAsia="zh-CN"/>
        </w:rPr>
        <w:t>峄城区区</w:t>
      </w:r>
      <w:r>
        <w:rPr>
          <w:rFonts w:hint="eastAsia" w:ascii="仿宋_GB2312" w:hAnsi="仿宋_GB2312" w:eastAsia="仿宋_GB2312" w:cs="仿宋_GB2312"/>
          <w:spacing w:val="-12"/>
          <w:sz w:val="31"/>
          <w:szCs w:val="31"/>
        </w:rPr>
        <w:t>级政务服务事项中介服务项目清单</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9"/>
        <w:rPr>
          <w:rFonts w:hint="eastAsia" w:ascii="仿宋_GB2312" w:hAnsi="仿宋_GB2312" w:eastAsia="仿宋_GB2312" w:cs="仿宋_GB2312"/>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9"/>
        <w:rPr>
          <w:rFonts w:hint="eastAsia" w:ascii="仿宋_GB2312" w:hAnsi="仿宋_GB2312" w:eastAsia="仿宋_GB2312" w:cs="仿宋_GB2312"/>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58" w:firstLineChars="21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峄城区</w:t>
      </w:r>
      <w:r>
        <w:rPr>
          <w:rFonts w:hint="eastAsia" w:ascii="仿宋_GB2312" w:hAnsi="仿宋_GB2312" w:eastAsia="仿宋_GB2312" w:cs="仿宋_GB2312"/>
          <w:spacing w:val="-11"/>
          <w:sz w:val="32"/>
          <w:szCs w:val="32"/>
        </w:rPr>
        <w:t>人民政府</w:t>
      </w:r>
    </w:p>
    <w:p>
      <w:pPr>
        <w:keepNext w:val="0"/>
        <w:keepLines w:val="0"/>
        <w:pageBreakBefore w:val="0"/>
        <w:widowControl/>
        <w:kinsoku w:val="0"/>
        <w:wordWrap/>
        <w:overflowPunct/>
        <w:topLinePunct w:val="0"/>
        <w:autoSpaceDE w:val="0"/>
        <w:autoSpaceDN w:val="0"/>
        <w:bidi w:val="0"/>
        <w:adjustRightInd w:val="0"/>
        <w:snapToGrid w:val="0"/>
        <w:spacing w:line="600" w:lineRule="exact"/>
        <w:jc w:val="right"/>
        <w:textAlignment w:val="baseline"/>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2021</w:t>
      </w:r>
      <w:bookmarkStart w:id="0" w:name="_GoBack"/>
      <w:bookmarkEnd w:id="0"/>
      <w:r>
        <w:rPr>
          <w:rFonts w:hint="eastAsia" w:ascii="仿宋_GB2312" w:hAnsi="仿宋_GB2312" w:eastAsia="仿宋_GB2312" w:cs="仿宋_GB2312"/>
          <w:spacing w:val="-11"/>
          <w:sz w:val="32"/>
          <w:szCs w:val="32"/>
        </w:rPr>
        <w:t>年10月</w:t>
      </w:r>
      <w:r>
        <w:rPr>
          <w:rFonts w:hint="eastAsia" w:ascii="仿宋_GB2312" w:hAnsi="仿宋_GB2312" w:eastAsia="仿宋_GB2312" w:cs="仿宋_GB2312"/>
          <w:spacing w:val="-11"/>
          <w:sz w:val="32"/>
          <w:szCs w:val="32"/>
          <w:lang w:val="en-US" w:eastAsia="zh-CN"/>
        </w:rPr>
        <w:t>28</w:t>
      </w:r>
      <w:r>
        <w:rPr>
          <w:rFonts w:hint="eastAsia" w:ascii="仿宋_GB2312" w:hAnsi="仿宋_GB2312" w:eastAsia="仿宋_GB2312" w:cs="仿宋_GB2312"/>
          <w:spacing w:val="-11"/>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1"/>
        <w:textAlignment w:val="baseline"/>
        <w:outlineLvl w:val="9"/>
        <w:rPr>
          <w:rFonts w:hint="eastAsia" w:ascii="仿宋_GB2312" w:hAnsi="仿宋_GB2312" w:eastAsia="仿宋_GB2312" w:cs="仿宋_GB2312"/>
        </w:rPr>
        <w:sectPr>
          <w:footerReference r:id="rId5" w:type="default"/>
          <w:pgSz w:w="11905" w:h="16840"/>
          <w:pgMar w:top="1701" w:right="1587" w:bottom="1587" w:left="1587" w:header="0" w:footer="1627"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pacing w:val="-9"/>
          <w:sz w:val="32"/>
          <w:szCs w:val="32"/>
        </w:rPr>
        <w:t>（此件公开发布）</w:t>
      </w:r>
    </w:p>
    <w:p>
      <w:pPr>
        <w:spacing w:before="104" w:line="184" w:lineRule="auto"/>
        <w:rPr>
          <w:rFonts w:ascii="黑体" w:hAnsi="黑体" w:eastAsia="黑体" w:cs="黑体"/>
          <w:sz w:val="32"/>
          <w:szCs w:val="32"/>
        </w:rPr>
      </w:pPr>
      <w:r>
        <w:rPr>
          <w:rFonts w:ascii="黑体" w:hAnsi="黑体" w:eastAsia="黑体" w:cs="黑体"/>
          <w:spacing w:val="-9"/>
          <w:sz w:val="32"/>
          <w:szCs w:val="32"/>
        </w:rPr>
        <w:t>附件</w:t>
      </w:r>
    </w:p>
    <w:p>
      <w:pPr>
        <w:spacing w:before="143" w:line="183" w:lineRule="auto"/>
        <w:ind w:firstLine="3066"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lang w:eastAsia="zh-CN"/>
        </w:rPr>
        <w:t>峄城区区</w:t>
      </w:r>
      <w:r>
        <w:rPr>
          <w:rFonts w:hint="eastAsia" w:ascii="方正小标宋简体" w:hAnsi="方正小标宋简体" w:eastAsia="方正小标宋简体" w:cs="方正小标宋简体"/>
          <w:spacing w:val="-1"/>
          <w:sz w:val="44"/>
          <w:szCs w:val="44"/>
        </w:rPr>
        <w:t>级政务服务事项中介服务项目清单</w:t>
      </w:r>
    </w:p>
    <w:tbl>
      <w:tblPr>
        <w:tblStyle w:val="8"/>
        <w:tblpPr w:leftFromText="180" w:rightFromText="180" w:vertAnchor="text" w:horzAnchor="page" w:tblpX="974" w:tblpY="114"/>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
        <w:gridCol w:w="1465"/>
        <w:gridCol w:w="1"/>
        <w:gridCol w:w="1977"/>
        <w:gridCol w:w="2"/>
        <w:gridCol w:w="1320"/>
        <w:gridCol w:w="42"/>
        <w:gridCol w:w="6043"/>
        <w:gridCol w:w="2"/>
        <w:gridCol w:w="1387"/>
        <w:gridCol w:w="2"/>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445" w:type="dxa"/>
            <w:gridSpan w:val="2"/>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765" w:type="dxa"/>
            <w:gridSpan w:val="5"/>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87" w:type="dxa"/>
            <w:gridSpan w:val="3"/>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gridSpan w:val="2"/>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45" w:type="dxa"/>
            <w:gridSpan w:val="2"/>
            <w:vMerge w:val="continue"/>
            <w:tcBorders>
              <w:top w:val="nil"/>
              <w:left w:val="single" w:color="000000" w:sz="12" w:space="0"/>
            </w:tcBorders>
            <w:vAlign w:val="top"/>
          </w:tcPr>
          <w:p>
            <w:pPr>
              <w:rPr>
                <w:rFonts w:ascii="宋体"/>
                <w:sz w:val="21"/>
              </w:rPr>
            </w:pPr>
          </w:p>
        </w:tc>
        <w:tc>
          <w:tcPr>
            <w:tcW w:w="1466" w:type="dxa"/>
            <w:gridSpan w:val="2"/>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gridSpan w:val="2"/>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20"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87" w:type="dxa"/>
            <w:gridSpan w:val="3"/>
            <w:vMerge w:val="continue"/>
            <w:tcBorders>
              <w:top w:val="nil"/>
            </w:tcBorders>
            <w:vAlign w:val="top"/>
          </w:tcPr>
          <w:p>
            <w:pPr>
              <w:rPr>
                <w:rFonts w:ascii="宋体"/>
                <w:sz w:val="21"/>
              </w:rPr>
            </w:pPr>
          </w:p>
        </w:tc>
        <w:tc>
          <w:tcPr>
            <w:tcW w:w="1389" w:type="dxa"/>
            <w:gridSpan w:val="2"/>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739" w:type="dxa"/>
            <w:gridSpan w:val="13"/>
            <w:tcBorders>
              <w:left w:val="single" w:color="000000" w:sz="12" w:space="0"/>
              <w:right w:val="single" w:color="000000" w:sz="12" w:space="0"/>
            </w:tcBorders>
            <w:vAlign w:val="top"/>
          </w:tcPr>
          <w:p>
            <w:pPr>
              <w:spacing w:before="166" w:line="184" w:lineRule="auto"/>
              <w:ind w:firstLine="536"/>
              <w:rPr>
                <w:rFonts w:ascii="楷体" w:hAnsi="楷体" w:eastAsia="楷体" w:cs="楷体"/>
                <w:sz w:val="21"/>
                <w:szCs w:val="21"/>
              </w:rPr>
            </w:pPr>
            <w:r>
              <w:rPr>
                <w:rFonts w:ascii="楷体" w:hAnsi="楷体" w:eastAsia="楷体" w:cs="楷体"/>
                <w:spacing w:val="-2"/>
                <w:sz w:val="21"/>
                <w:szCs w:val="21"/>
              </w:rPr>
              <w:t>一、</w:t>
            </w:r>
            <w:r>
              <w:rPr>
                <w:rFonts w:hint="eastAsia" w:ascii="楷体" w:hAnsi="楷体" w:eastAsia="楷体" w:cs="楷体"/>
                <w:spacing w:val="-2"/>
                <w:sz w:val="21"/>
                <w:szCs w:val="21"/>
              </w:rPr>
              <w:t>峄城区交通运输局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1445" w:type="dxa"/>
            <w:gridSpan w:val="2"/>
            <w:vMerge w:val="restart"/>
            <w:tcBorders>
              <w:left w:val="single" w:color="000000" w:sz="12" w:space="0"/>
            </w:tcBorders>
            <w:vAlign w:val="center"/>
          </w:tcPr>
          <w:p>
            <w:pPr>
              <w:numPr>
                <w:ilvl w:val="0"/>
                <w:numId w:val="0"/>
              </w:numPr>
              <w:spacing w:before="63" w:line="184" w:lineRule="auto"/>
              <w:ind w:left="208" w:hanging="208" w:hanging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机动车综合性能检测</w:t>
            </w:r>
          </w:p>
        </w:tc>
        <w:tc>
          <w:tcPr>
            <w:tcW w:w="1466" w:type="dxa"/>
            <w:gridSpan w:val="2"/>
            <w:vMerge w:val="restart"/>
            <w:vAlign w:val="center"/>
          </w:tcPr>
          <w:p>
            <w:pPr>
              <w:spacing w:before="68" w:line="239" w:lineRule="auto"/>
              <w:ind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道路运输车辆年度审验</w:t>
            </w:r>
          </w:p>
        </w:tc>
        <w:tc>
          <w:tcPr>
            <w:tcW w:w="1979" w:type="dxa"/>
            <w:gridSpan w:val="2"/>
            <w:vAlign w:val="center"/>
          </w:tcPr>
          <w:p>
            <w:pPr>
              <w:numPr>
                <w:ilvl w:val="0"/>
                <w:numId w:val="0"/>
              </w:numPr>
              <w:spacing w:line="260" w:lineRule="auto"/>
              <w:ind w:left="0" w:leftChars="0" w:firstLine="218" w:firstLineChars="104"/>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旅客运输车辆年度审验</w:t>
            </w:r>
          </w:p>
        </w:tc>
        <w:tc>
          <w:tcPr>
            <w:tcW w:w="1320" w:type="dxa"/>
            <w:vMerge w:val="restart"/>
            <w:vAlign w:val="center"/>
          </w:tcPr>
          <w:p>
            <w:pPr>
              <w:spacing w:line="259" w:lineRule="auto"/>
              <w:jc w:val="center"/>
              <w:rPr>
                <w:rFonts w:hint="eastAsia" w:asciiTheme="minorEastAsia" w:hAnsiTheme="minorEastAsia" w:eastAsiaTheme="minorEastAsia" w:cstheme="minorEastAsia"/>
                <w:sz w:val="21"/>
              </w:rPr>
            </w:pPr>
          </w:p>
          <w:p>
            <w:pPr>
              <w:spacing w:before="69"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其他行政权力</w:t>
            </w:r>
          </w:p>
        </w:tc>
        <w:tc>
          <w:tcPr>
            <w:tcW w:w="6087" w:type="dxa"/>
            <w:gridSpan w:val="3"/>
            <w:vAlign w:val="center"/>
          </w:tcPr>
          <w:p>
            <w:pPr>
              <w:spacing w:before="47" w:line="223" w:lineRule="auto"/>
              <w:ind w:left="13" w:right="1" w:firstLine="7"/>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《道路旅客运输及客运站管理规定》（中华人民共和国交通运输部令2016年第 82号）</w:t>
            </w:r>
          </w:p>
        </w:tc>
        <w:tc>
          <w:tcPr>
            <w:tcW w:w="1389" w:type="dxa"/>
            <w:gridSpan w:val="2"/>
            <w:vMerge w:val="restart"/>
            <w:vAlign w:val="center"/>
          </w:tcPr>
          <w:p>
            <w:pPr>
              <w:spacing w:before="69" w:line="239" w:lineRule="auto"/>
              <w:ind w:left="0" w:leftChars="0" w:right="90" w:rightChars="0" w:firstLine="0" w:firstLine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spacing w:before="69" w:line="239" w:lineRule="auto"/>
              <w:ind w:left="0" w:leftChars="0" w:right="9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vMerge w:val="restart"/>
            <w:tcBorders>
              <w:right w:val="single" w:color="000000" w:sz="12" w:space="0"/>
            </w:tcBorders>
            <w:vAlign w:val="center"/>
          </w:tcPr>
          <w:p>
            <w:pPr>
              <w:spacing w:before="69" w:line="239" w:lineRule="auto"/>
              <w:ind w:right="84"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445" w:type="dxa"/>
            <w:gridSpan w:val="2"/>
            <w:vMerge w:val="continue"/>
            <w:tcBorders>
              <w:left w:val="single" w:color="000000" w:sz="12" w:space="0"/>
            </w:tcBorders>
            <w:vAlign w:val="top"/>
          </w:tcPr>
          <w:p>
            <w:pPr>
              <w:numPr>
                <w:ilvl w:val="0"/>
                <w:numId w:val="0"/>
              </w:numPr>
              <w:spacing w:before="63" w:line="184" w:lineRule="auto"/>
              <w:ind w:firstLine="208" w:firstLineChars="100"/>
              <w:rPr>
                <w:rFonts w:hint="eastAsia" w:ascii="宋体" w:hAnsi="宋体" w:eastAsia="宋体" w:cs="宋体"/>
                <w:spacing w:val="-1"/>
                <w:sz w:val="21"/>
                <w:szCs w:val="21"/>
              </w:rPr>
            </w:pPr>
          </w:p>
        </w:tc>
        <w:tc>
          <w:tcPr>
            <w:tcW w:w="1466" w:type="dxa"/>
            <w:gridSpan w:val="2"/>
            <w:vMerge w:val="continue"/>
            <w:vAlign w:val="top"/>
          </w:tcPr>
          <w:p>
            <w:pPr>
              <w:spacing w:before="68" w:line="239" w:lineRule="auto"/>
              <w:ind w:left="200" w:right="113" w:hanging="108"/>
              <w:rPr>
                <w:rFonts w:hint="eastAsia" w:ascii="宋体" w:hAnsi="宋体" w:eastAsia="宋体" w:cs="宋体"/>
                <w:spacing w:val="-1"/>
                <w:sz w:val="21"/>
                <w:szCs w:val="21"/>
              </w:rPr>
            </w:pPr>
          </w:p>
        </w:tc>
        <w:tc>
          <w:tcPr>
            <w:tcW w:w="1979" w:type="dxa"/>
            <w:gridSpan w:val="2"/>
            <w:vAlign w:val="center"/>
          </w:tcPr>
          <w:p>
            <w:pPr>
              <w:spacing w:line="2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普通货物运输车辆年度审验</w:t>
            </w:r>
          </w:p>
        </w:tc>
        <w:tc>
          <w:tcPr>
            <w:tcW w:w="1320" w:type="dxa"/>
            <w:vMerge w:val="continue"/>
            <w:vAlign w:val="center"/>
          </w:tcPr>
          <w:p>
            <w:pPr>
              <w:spacing w:before="69" w:line="184" w:lineRule="auto"/>
              <w:ind w:firstLine="266"/>
              <w:jc w:val="center"/>
              <w:rPr>
                <w:rFonts w:hint="eastAsia" w:ascii="宋体" w:hAnsi="宋体" w:eastAsia="宋体" w:cs="宋体"/>
                <w:spacing w:val="-2"/>
                <w:sz w:val="21"/>
                <w:szCs w:val="21"/>
              </w:rPr>
            </w:pPr>
          </w:p>
        </w:tc>
        <w:tc>
          <w:tcPr>
            <w:tcW w:w="6087" w:type="dxa"/>
            <w:gridSpan w:val="3"/>
            <w:vAlign w:val="center"/>
          </w:tcPr>
          <w:p>
            <w:pPr>
              <w:spacing w:before="47" w:line="223" w:lineRule="auto"/>
              <w:ind w:left="13" w:right="1" w:firstLine="7"/>
              <w:jc w:val="left"/>
              <w:rPr>
                <w:rFonts w:hint="eastAsia" w:ascii="宋体" w:hAnsi="宋体" w:eastAsia="宋体" w:cs="宋体"/>
                <w:spacing w:val="-5"/>
                <w:sz w:val="21"/>
                <w:szCs w:val="21"/>
              </w:rPr>
            </w:pPr>
            <w:r>
              <w:rPr>
                <w:rFonts w:hint="eastAsia" w:ascii="宋体" w:hAnsi="宋体" w:eastAsia="宋体" w:cs="宋体"/>
                <w:spacing w:val="-5"/>
                <w:sz w:val="21"/>
                <w:szCs w:val="21"/>
              </w:rPr>
              <w:t>《中华人民共和国道路运输条例》（国务院令第 406号）第二十一条《道路运输车辆技术管理规定</w:t>
            </w:r>
          </w:p>
        </w:tc>
        <w:tc>
          <w:tcPr>
            <w:tcW w:w="1389" w:type="dxa"/>
            <w:gridSpan w:val="2"/>
            <w:vMerge w:val="continue"/>
            <w:vAlign w:val="top"/>
          </w:tcPr>
          <w:p>
            <w:pPr>
              <w:spacing w:before="68" w:line="239" w:lineRule="auto"/>
              <w:ind w:left="501" w:right="260" w:hanging="208"/>
              <w:rPr>
                <w:rFonts w:ascii="宋体" w:hAnsi="宋体" w:eastAsia="宋体" w:cs="宋体"/>
                <w:spacing w:val="-3"/>
                <w:sz w:val="21"/>
                <w:szCs w:val="21"/>
              </w:rPr>
            </w:pPr>
          </w:p>
        </w:tc>
        <w:tc>
          <w:tcPr>
            <w:tcW w:w="1053" w:type="dxa"/>
            <w:vMerge w:val="continue"/>
            <w:tcBorders>
              <w:right w:val="single" w:color="000000" w:sz="12" w:space="0"/>
            </w:tcBorders>
            <w:vAlign w:val="top"/>
          </w:tcPr>
          <w:p>
            <w:pPr>
              <w:spacing w:before="68" w:line="239" w:lineRule="auto"/>
              <w:ind w:left="332" w:right="84" w:hanging="213"/>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5" w:type="dxa"/>
            <w:gridSpan w:val="2"/>
            <w:vMerge w:val="continue"/>
            <w:tcBorders>
              <w:left w:val="single" w:color="000000" w:sz="12" w:space="0"/>
            </w:tcBorders>
            <w:vAlign w:val="top"/>
          </w:tcPr>
          <w:p>
            <w:pPr>
              <w:numPr>
                <w:ilvl w:val="0"/>
                <w:numId w:val="0"/>
              </w:numPr>
              <w:spacing w:before="63" w:line="184" w:lineRule="auto"/>
              <w:ind w:firstLine="208" w:firstLineChars="100"/>
              <w:rPr>
                <w:rFonts w:hint="eastAsia" w:ascii="宋体" w:hAnsi="宋体" w:eastAsia="宋体" w:cs="宋体"/>
                <w:spacing w:val="-1"/>
                <w:sz w:val="21"/>
                <w:szCs w:val="21"/>
              </w:rPr>
            </w:pPr>
          </w:p>
        </w:tc>
        <w:tc>
          <w:tcPr>
            <w:tcW w:w="1466" w:type="dxa"/>
            <w:gridSpan w:val="2"/>
            <w:vMerge w:val="continue"/>
            <w:vAlign w:val="top"/>
          </w:tcPr>
          <w:p>
            <w:pPr>
              <w:spacing w:before="68" w:line="239" w:lineRule="auto"/>
              <w:ind w:left="200" w:right="113" w:hanging="108"/>
              <w:rPr>
                <w:rFonts w:hint="eastAsia" w:ascii="宋体" w:hAnsi="宋体" w:eastAsia="宋体" w:cs="宋体"/>
                <w:spacing w:val="-1"/>
                <w:sz w:val="21"/>
                <w:szCs w:val="21"/>
              </w:rPr>
            </w:pPr>
          </w:p>
        </w:tc>
        <w:tc>
          <w:tcPr>
            <w:tcW w:w="1979" w:type="dxa"/>
            <w:gridSpan w:val="2"/>
            <w:vAlign w:val="center"/>
          </w:tcPr>
          <w:p>
            <w:pPr>
              <w:spacing w:line="2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教练车辆年度审验</w:t>
            </w:r>
          </w:p>
        </w:tc>
        <w:tc>
          <w:tcPr>
            <w:tcW w:w="1320" w:type="dxa"/>
            <w:vMerge w:val="continue"/>
            <w:vAlign w:val="center"/>
          </w:tcPr>
          <w:p>
            <w:pPr>
              <w:spacing w:before="69" w:line="184" w:lineRule="auto"/>
              <w:ind w:firstLine="266"/>
              <w:jc w:val="center"/>
              <w:rPr>
                <w:rFonts w:hint="eastAsia" w:ascii="宋体" w:hAnsi="宋体" w:eastAsia="宋体" w:cs="宋体"/>
                <w:spacing w:val="-2"/>
                <w:sz w:val="21"/>
                <w:szCs w:val="21"/>
              </w:rPr>
            </w:pPr>
          </w:p>
        </w:tc>
        <w:tc>
          <w:tcPr>
            <w:tcW w:w="6087" w:type="dxa"/>
            <w:gridSpan w:val="3"/>
            <w:vAlign w:val="center"/>
          </w:tcPr>
          <w:p>
            <w:pPr>
              <w:spacing w:before="47" w:line="223" w:lineRule="auto"/>
              <w:ind w:left="13" w:right="1" w:firstLine="7"/>
              <w:jc w:val="left"/>
              <w:rPr>
                <w:rFonts w:hint="eastAsia" w:ascii="宋体" w:hAnsi="宋体" w:eastAsia="宋体" w:cs="宋体"/>
                <w:spacing w:val="-5"/>
                <w:sz w:val="21"/>
                <w:szCs w:val="21"/>
              </w:rPr>
            </w:pPr>
            <w:r>
              <w:rPr>
                <w:rFonts w:hint="eastAsia" w:ascii="宋体" w:hAnsi="宋体" w:eastAsia="宋体" w:cs="宋体"/>
                <w:spacing w:val="-5"/>
                <w:sz w:val="21"/>
                <w:szCs w:val="21"/>
              </w:rPr>
              <w:t>《山东省道路运输条例》第四十八条《道路运输车辆技术管理规定》第二十七条</w:t>
            </w:r>
          </w:p>
        </w:tc>
        <w:tc>
          <w:tcPr>
            <w:tcW w:w="1389" w:type="dxa"/>
            <w:gridSpan w:val="2"/>
            <w:vMerge w:val="continue"/>
            <w:vAlign w:val="top"/>
          </w:tcPr>
          <w:p>
            <w:pPr>
              <w:spacing w:before="68" w:line="239" w:lineRule="auto"/>
              <w:ind w:left="501" w:right="260" w:hanging="208"/>
              <w:rPr>
                <w:rFonts w:ascii="宋体" w:hAnsi="宋体" w:eastAsia="宋体" w:cs="宋体"/>
                <w:spacing w:val="-3"/>
                <w:sz w:val="21"/>
                <w:szCs w:val="21"/>
              </w:rPr>
            </w:pPr>
          </w:p>
        </w:tc>
        <w:tc>
          <w:tcPr>
            <w:tcW w:w="1053" w:type="dxa"/>
            <w:vMerge w:val="continue"/>
            <w:tcBorders>
              <w:right w:val="single" w:color="000000" w:sz="12" w:space="0"/>
            </w:tcBorders>
            <w:vAlign w:val="top"/>
          </w:tcPr>
          <w:p>
            <w:pPr>
              <w:spacing w:before="68" w:line="239" w:lineRule="auto"/>
              <w:ind w:left="332" w:right="84" w:hanging="213"/>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39" w:type="dxa"/>
            <w:gridSpan w:val="13"/>
            <w:tcBorders>
              <w:left w:val="single" w:color="000000" w:sz="12" w:space="0"/>
              <w:right w:val="single" w:color="000000" w:sz="12" w:space="0"/>
            </w:tcBorders>
            <w:vAlign w:val="top"/>
          </w:tcPr>
          <w:p>
            <w:pPr>
              <w:spacing w:before="176" w:line="184" w:lineRule="auto"/>
              <w:ind w:firstLine="532" w:firstLineChars="0"/>
              <w:rPr>
                <w:rFonts w:ascii="宋体" w:hAnsi="宋体" w:eastAsia="宋体" w:cs="宋体"/>
                <w:spacing w:val="-3"/>
                <w:sz w:val="21"/>
                <w:szCs w:val="21"/>
              </w:rPr>
            </w:pPr>
            <w:r>
              <w:rPr>
                <w:rFonts w:ascii="楷体" w:hAnsi="楷体" w:eastAsia="楷体" w:cs="楷体"/>
                <w:spacing w:val="-1"/>
                <w:sz w:val="21"/>
                <w:szCs w:val="21"/>
              </w:rPr>
              <w:t>二、</w:t>
            </w:r>
            <w:r>
              <w:rPr>
                <w:rFonts w:hint="eastAsia" w:ascii="楷体" w:hAnsi="楷体" w:eastAsia="楷体" w:cs="楷体"/>
                <w:spacing w:val="-1"/>
                <w:sz w:val="21"/>
                <w:szCs w:val="21"/>
              </w:rPr>
              <w:t>峄城区工业和信息化局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0" w:hRule="atLeast"/>
        </w:trPr>
        <w:tc>
          <w:tcPr>
            <w:tcW w:w="1444" w:type="dxa"/>
            <w:tcBorders>
              <w:left w:val="single" w:color="000000" w:sz="12" w:space="0"/>
            </w:tcBorders>
            <w:vAlign w:val="top"/>
          </w:tcPr>
          <w:p>
            <w:pPr>
              <w:spacing w:before="68" w:line="239" w:lineRule="auto"/>
              <w:ind w:right="227"/>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left="496" w:right="227" w:hanging="292"/>
              <w:jc w:val="both"/>
              <w:rPr>
                <w:rFonts w:hint="eastAsia" w:ascii="Times New Roman" w:hAnsi="Times New Roman" w:eastAsia="宋体" w:cs="Times New Roman"/>
                <w:spacing w:val="-1"/>
                <w:sz w:val="21"/>
                <w:szCs w:val="21"/>
                <w:lang w:val="en-US" w:eastAsia="zh-CN"/>
              </w:rPr>
            </w:pPr>
          </w:p>
          <w:p>
            <w:pPr>
              <w:spacing w:before="68" w:line="239" w:lineRule="auto"/>
              <w:ind w:right="227" w:rightChars="0"/>
              <w:jc w:val="center"/>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3"/>
                <w:sz w:val="21"/>
                <w:szCs w:val="21"/>
                <w:lang w:val="en-US" w:eastAsia="zh-CN"/>
              </w:rPr>
              <w:t>安全评价</w:t>
            </w:r>
          </w:p>
        </w:tc>
        <w:tc>
          <w:tcPr>
            <w:tcW w:w="1466" w:type="dxa"/>
            <w:gridSpan w:val="2"/>
            <w:vAlign w:val="top"/>
          </w:tcPr>
          <w:p>
            <w:pPr>
              <w:spacing w:line="249" w:lineRule="auto"/>
              <w:jc w:val="both"/>
              <w:rPr>
                <w:rFonts w:ascii="宋体"/>
                <w:sz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both"/>
              <w:rPr>
                <w:rFonts w:hint="eastAsia" w:ascii="宋体" w:hAnsi="宋体" w:eastAsia="宋体" w:cs="宋体"/>
                <w:spacing w:val="-3"/>
                <w:sz w:val="21"/>
                <w:szCs w:val="21"/>
              </w:rPr>
            </w:pPr>
          </w:p>
          <w:p>
            <w:pPr>
              <w:spacing w:line="204" w:lineRule="auto"/>
              <w:jc w:val="center"/>
              <w:rPr>
                <w:rFonts w:hint="eastAsia" w:ascii="宋体" w:hAnsi="宋体" w:eastAsia="宋体" w:cs="宋体"/>
                <w:spacing w:val="-1"/>
                <w:sz w:val="21"/>
                <w:szCs w:val="21"/>
              </w:rPr>
            </w:pPr>
            <w:r>
              <w:rPr>
                <w:rFonts w:hint="eastAsia" w:ascii="宋体" w:hAnsi="宋体" w:eastAsia="宋体" w:cs="宋体"/>
                <w:spacing w:val="-3"/>
                <w:sz w:val="21"/>
                <w:szCs w:val="21"/>
              </w:rPr>
              <w:t>民用爆炸物品销售许可</w:t>
            </w:r>
          </w:p>
        </w:tc>
        <w:tc>
          <w:tcPr>
            <w:tcW w:w="1978" w:type="dxa"/>
            <w:gridSpan w:val="2"/>
            <w:vAlign w:val="top"/>
          </w:tcPr>
          <w:p>
            <w:pPr>
              <w:spacing w:before="69" w:line="184" w:lineRule="auto"/>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83"/>
              <w:jc w:val="both"/>
              <w:rPr>
                <w:rFonts w:ascii="宋体" w:hAnsi="宋体" w:eastAsia="宋体" w:cs="宋体"/>
                <w:sz w:val="21"/>
                <w:szCs w:val="21"/>
              </w:rPr>
            </w:pPr>
          </w:p>
          <w:p>
            <w:pPr>
              <w:spacing w:before="69" w:line="184" w:lineRule="auto"/>
              <w:ind w:firstLine="840" w:firstLineChars="400"/>
              <w:jc w:val="both"/>
              <w:rPr>
                <w:rFonts w:hint="eastAsia" w:ascii="宋体" w:eastAsia="宋体"/>
                <w:sz w:val="21"/>
                <w:lang w:val="en-US" w:eastAsia="zh-CN"/>
              </w:rPr>
            </w:pPr>
            <w:r>
              <w:rPr>
                <w:rFonts w:ascii="宋体" w:hAnsi="宋体" w:eastAsia="宋体" w:cs="宋体"/>
                <w:sz w:val="21"/>
                <w:szCs w:val="21"/>
              </w:rPr>
              <w:t>无</w:t>
            </w:r>
          </w:p>
        </w:tc>
        <w:tc>
          <w:tcPr>
            <w:tcW w:w="1364" w:type="dxa"/>
            <w:gridSpan w:val="3"/>
            <w:vAlign w:val="top"/>
          </w:tcPr>
          <w:p>
            <w:pPr>
              <w:spacing w:line="268" w:lineRule="auto"/>
              <w:jc w:val="both"/>
              <w:rPr>
                <w:rFonts w:ascii="宋体"/>
                <w:sz w:val="21"/>
              </w:rPr>
            </w:pPr>
          </w:p>
          <w:p>
            <w:pPr>
              <w:spacing w:before="69" w:line="184" w:lineRule="auto"/>
              <w:jc w:val="both"/>
              <w:rPr>
                <w:rFonts w:hint="eastAsia" w:ascii="宋体" w:hAnsi="宋体" w:eastAsia="宋体" w:cs="宋体"/>
                <w:spacing w:val="-2"/>
                <w:sz w:val="21"/>
                <w:szCs w:val="21"/>
              </w:rPr>
            </w:pPr>
          </w:p>
          <w:p>
            <w:pPr>
              <w:spacing w:before="69" w:line="184" w:lineRule="auto"/>
              <w:ind w:firstLine="266"/>
              <w:jc w:val="both"/>
              <w:rPr>
                <w:rFonts w:hint="eastAsia" w:ascii="宋体" w:hAnsi="宋体" w:eastAsia="宋体" w:cs="宋体"/>
                <w:spacing w:val="-2"/>
                <w:sz w:val="21"/>
                <w:szCs w:val="21"/>
              </w:rPr>
            </w:pPr>
          </w:p>
          <w:p>
            <w:pPr>
              <w:spacing w:before="69" w:line="184" w:lineRule="auto"/>
              <w:ind w:firstLine="266"/>
              <w:jc w:val="both"/>
              <w:rPr>
                <w:rFonts w:hint="eastAsia" w:ascii="宋体" w:hAnsi="宋体" w:eastAsia="宋体" w:cs="宋体"/>
                <w:spacing w:val="-2"/>
                <w:sz w:val="21"/>
                <w:szCs w:val="21"/>
              </w:rPr>
            </w:pPr>
          </w:p>
          <w:p>
            <w:pPr>
              <w:spacing w:before="69" w:line="184" w:lineRule="auto"/>
              <w:ind w:firstLine="266" w:firstLineChars="0"/>
              <w:jc w:val="both"/>
              <w:rPr>
                <w:rFonts w:hint="eastAsia" w:ascii="宋体" w:hAnsi="宋体" w:eastAsia="宋体" w:cs="宋体"/>
                <w:spacing w:val="-2"/>
                <w:sz w:val="21"/>
                <w:szCs w:val="21"/>
              </w:rPr>
            </w:pPr>
          </w:p>
          <w:p>
            <w:pPr>
              <w:spacing w:before="69" w:line="184" w:lineRule="auto"/>
              <w:ind w:firstLine="266" w:firstLineChars="0"/>
              <w:jc w:val="both"/>
              <w:rPr>
                <w:rFonts w:hint="eastAsia" w:ascii="宋体" w:hAnsi="宋体" w:eastAsia="宋体" w:cs="宋体"/>
                <w:spacing w:val="-2"/>
                <w:sz w:val="21"/>
                <w:szCs w:val="21"/>
              </w:rPr>
            </w:pPr>
            <w:r>
              <w:rPr>
                <w:rFonts w:hint="eastAsia"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《民用爆炸物品安全管理条例》（2006年5月国务院令第466号，2014年7月修正）第十八条　申请从事民用爆炸物品销售的企业，应当具备下列条件：</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对民用爆炸物品销售企业规划的要求；（二）销售场所和专用仓库符合国家有关标准和规范；（三）有具备相应资格的安全管理人员、仓库管理人员；（四）有健全的安全管理制度、岗位安全责任制度；（五）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宋体" w:hAnsi="宋体" w:eastAsia="宋体" w:cs="宋体"/>
                <w:spacing w:val="-5"/>
                <w:sz w:val="21"/>
                <w:szCs w:val="21"/>
              </w:rPr>
            </w:pPr>
            <w:r>
              <w:rPr>
                <w:rFonts w:hint="eastAsia" w:asciiTheme="minorEastAsia" w:hAnsiTheme="minorEastAsia" w:eastAsiaTheme="minorEastAsia" w:cstheme="minorEastAsia"/>
                <w:sz w:val="21"/>
                <w:szCs w:val="21"/>
              </w:rPr>
              <w:t>第十九条　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p>
        </w:tc>
        <w:tc>
          <w:tcPr>
            <w:tcW w:w="1389" w:type="dxa"/>
            <w:gridSpan w:val="2"/>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5" w:type="dxa"/>
            <w:gridSpan w:val="2"/>
            <w:tcBorders>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pgSz w:w="16840" w:h="11905"/>
          <w:pgMar w:top="1011" w:right="1037" w:bottom="1821" w:left="1033" w:header="0" w:footer="1624" w:gutter="0"/>
          <w:pgBorders>
            <w:top w:val="none" w:sz="0" w:space="0"/>
            <w:left w:val="none" w:sz="0" w:space="0"/>
            <w:bottom w:val="none" w:sz="0" w:space="0"/>
            <w:right w:val="none" w:sz="0" w:space="0"/>
          </w:pgBorders>
          <w:pgNumType w:fmt="numberInDash"/>
          <w:cols w:space="720" w:num="1"/>
        </w:sectPr>
      </w:pPr>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1467"/>
        <w:gridCol w:w="1"/>
        <w:gridCol w:w="1979"/>
        <w:gridCol w:w="1"/>
        <w:gridCol w:w="1363"/>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443" w:type="dxa"/>
            <w:vMerge w:val="restart"/>
            <w:tcBorders>
              <w:top w:val="single" w:color="000000" w:sz="12" w:space="0"/>
              <w:left w:val="single" w:color="000000" w:sz="12" w:space="0"/>
              <w:bottom w:val="single" w:color="000000" w:sz="4" w:space="0"/>
              <w:right w:val="single" w:color="000000" w:sz="4" w:space="0"/>
            </w:tcBorders>
            <w:vAlign w:val="top"/>
          </w:tcPr>
          <w:p>
            <w:pPr>
              <w:spacing w:before="277" w:line="239" w:lineRule="auto"/>
              <w:ind w:left="420" w:leftChars="0" w:right="95" w:hanging="401" w:firstLineChars="0"/>
              <w:rPr>
                <w:rFonts w:ascii="黑体" w:hAnsi="黑体" w:eastAsia="黑体" w:cs="黑体"/>
                <w:sz w:val="21"/>
                <w:szCs w:val="21"/>
              </w:rPr>
            </w:pPr>
            <w:r>
              <w:rPr>
                <w:rFonts w:ascii="黑体" w:hAnsi="黑体" w:eastAsia="黑体" w:cs="黑体"/>
                <w:spacing w:val="-5"/>
                <w:sz w:val="21"/>
                <w:szCs w:val="21"/>
              </w:rPr>
              <w:t>中介服务</w:t>
            </w:r>
            <w:r>
              <w:rPr>
                <w:rFonts w:hint="eastAsia" w:ascii="黑体" w:hAnsi="黑体" w:eastAsia="黑体" w:cs="黑体"/>
                <w:spacing w:val="-5"/>
                <w:sz w:val="21"/>
                <w:szCs w:val="21"/>
                <w:lang w:eastAsia="zh-CN"/>
              </w:rPr>
              <w:t>项</w:t>
            </w:r>
            <w:r>
              <w:rPr>
                <w:rFonts w:ascii="黑体" w:hAnsi="黑体" w:eastAsia="黑体" w:cs="黑体"/>
                <w:spacing w:val="-5"/>
                <w:sz w:val="21"/>
                <w:szCs w:val="21"/>
              </w:rPr>
              <w:t>目</w:t>
            </w:r>
            <w:r>
              <w:rPr>
                <w:rFonts w:ascii="黑体" w:hAnsi="黑体" w:eastAsia="黑体" w:cs="黑体"/>
                <w:spacing w:val="-3"/>
                <w:sz w:val="21"/>
                <w:szCs w:val="21"/>
              </w:rPr>
              <w:t>名称</w:t>
            </w:r>
          </w:p>
        </w:tc>
        <w:tc>
          <w:tcPr>
            <w:tcW w:w="4811" w:type="dxa"/>
            <w:gridSpan w:val="5"/>
            <w:tcBorders>
              <w:top w:val="single" w:color="000000" w:sz="12" w:space="0"/>
              <w:left w:val="single" w:color="000000" w:sz="4" w:space="0"/>
              <w:bottom w:val="single" w:color="000000" w:sz="4" w:space="0"/>
              <w:right w:val="single" w:color="000000" w:sz="4"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left w:val="single" w:color="000000" w:sz="4" w:space="0"/>
              <w:bottom w:val="single" w:color="000000" w:sz="4" w:space="0"/>
              <w:right w:val="single" w:color="000000" w:sz="4" w:space="0"/>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480"/>
              </w:tabs>
              <w:kinsoku w:val="0"/>
              <w:wordWrap/>
              <w:overflowPunct/>
              <w:topLinePunct w:val="0"/>
              <w:autoSpaceDE w:val="0"/>
              <w:autoSpaceDN w:val="0"/>
              <w:bidi w:val="0"/>
              <w:adjustRightInd w:val="0"/>
              <w:snapToGrid w:val="0"/>
              <w:spacing w:line="320" w:lineRule="exact"/>
              <w:ind w:left="18" w:leftChars="0" w:right="-102" w:rightChars="0" w:hanging="18" w:firstLineChars="0"/>
              <w:jc w:val="center"/>
              <w:textAlignment w:val="baseline"/>
              <w:rPr>
                <w:rFonts w:ascii="黑体" w:hAnsi="黑体" w:eastAsia="黑体" w:cs="黑体"/>
                <w:spacing w:val="-3"/>
                <w:sz w:val="21"/>
                <w:szCs w:val="21"/>
              </w:rPr>
            </w:pPr>
            <w:r>
              <w:rPr>
                <w:rFonts w:ascii="黑体" w:hAnsi="黑体" w:eastAsia="黑体" w:cs="黑体"/>
                <w:spacing w:val="-3"/>
                <w:sz w:val="21"/>
                <w:szCs w:val="21"/>
              </w:rPr>
              <w:t>收费标准及</w:t>
            </w:r>
          </w:p>
          <w:p>
            <w:pPr>
              <w:keepNext w:val="0"/>
              <w:keepLines w:val="0"/>
              <w:pageBreakBefore w:val="0"/>
              <w:widowControl/>
              <w:tabs>
                <w:tab w:val="left" w:pos="1480"/>
              </w:tabs>
              <w:kinsoku w:val="0"/>
              <w:wordWrap/>
              <w:overflowPunct/>
              <w:topLinePunct w:val="0"/>
              <w:autoSpaceDE w:val="0"/>
              <w:autoSpaceDN w:val="0"/>
              <w:bidi w:val="0"/>
              <w:adjustRightInd w:val="0"/>
              <w:snapToGrid w:val="0"/>
              <w:spacing w:line="320" w:lineRule="exact"/>
              <w:ind w:left="238" w:leftChars="0" w:right="-102" w:rightChars="0" w:hanging="45" w:firstLineChars="0"/>
              <w:jc w:val="center"/>
              <w:textAlignment w:val="baseline"/>
              <w:rPr>
                <w:rFonts w:ascii="黑体" w:hAnsi="黑体" w:eastAsia="黑体" w:cs="黑体"/>
                <w:sz w:val="21"/>
                <w:szCs w:val="21"/>
              </w:rPr>
            </w:pPr>
            <w:r>
              <w:rPr>
                <w:rFonts w:ascii="黑体" w:hAnsi="黑体" w:eastAsia="黑体" w:cs="黑体"/>
                <w:spacing w:val="-2"/>
                <w:sz w:val="21"/>
                <w:szCs w:val="21"/>
              </w:rPr>
              <w:t>依据</w:t>
            </w:r>
          </w:p>
        </w:tc>
        <w:tc>
          <w:tcPr>
            <w:tcW w:w="1053" w:type="dxa"/>
            <w:vMerge w:val="restart"/>
            <w:tcBorders>
              <w:top w:val="single" w:color="000000" w:sz="12" w:space="0"/>
              <w:left w:val="single" w:color="000000" w:sz="4" w:space="0"/>
              <w:bottom w:val="single" w:color="000000" w:sz="4" w:space="0"/>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3" w:type="dxa"/>
            <w:vMerge w:val="continue"/>
            <w:tcBorders>
              <w:top w:val="single" w:color="000000" w:sz="4" w:space="0"/>
              <w:left w:val="single" w:color="000000" w:sz="12" w:space="0"/>
              <w:bottom w:val="single" w:color="000000" w:sz="4" w:space="0"/>
              <w:right w:val="single" w:color="000000" w:sz="4" w:space="0"/>
            </w:tcBorders>
            <w:vAlign w:val="top"/>
          </w:tcPr>
          <w:p>
            <w:pPr>
              <w:rPr>
                <w:rFonts w:ascii="宋体"/>
                <w:sz w:val="21"/>
              </w:rPr>
            </w:pPr>
          </w:p>
        </w:tc>
        <w:tc>
          <w:tcPr>
            <w:tcW w:w="1467" w:type="dxa"/>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1" w:type="dxa"/>
            <w:gridSpan w:val="3"/>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3" w:type="dxa"/>
            <w:tcBorders>
              <w:top w:val="single" w:color="000000" w:sz="4" w:space="0"/>
              <w:left w:val="single" w:color="000000" w:sz="4" w:space="0"/>
              <w:bottom w:val="single" w:color="000000" w:sz="4" w:space="0"/>
              <w:right w:val="single" w:color="000000" w:sz="4" w:space="0"/>
            </w:tcBorders>
            <w:vAlign w:val="top"/>
          </w:tcPr>
          <w:p>
            <w:pPr>
              <w:spacing w:before="135" w:line="184" w:lineRule="auto"/>
              <w:ind w:firstLine="271"/>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389"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53"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739" w:type="dxa"/>
            <w:gridSpan w:val="9"/>
            <w:tcBorders>
              <w:top w:val="single" w:color="000000" w:sz="4" w:space="0"/>
              <w:left w:val="single" w:color="000000" w:sz="12" w:space="0"/>
              <w:bottom w:val="single" w:color="000000" w:sz="4" w:space="0"/>
              <w:right w:val="single" w:color="000000" w:sz="12" w:space="0"/>
            </w:tcBorders>
            <w:vAlign w:val="top"/>
          </w:tcPr>
          <w:p>
            <w:pPr>
              <w:spacing w:before="166" w:line="184" w:lineRule="auto"/>
              <w:ind w:firstLine="534"/>
              <w:rPr>
                <w:rFonts w:ascii="楷体" w:hAnsi="楷体" w:eastAsia="楷体" w:cs="楷体"/>
                <w:sz w:val="21"/>
                <w:szCs w:val="21"/>
              </w:rPr>
            </w:pPr>
            <w:r>
              <w:rPr>
                <w:rFonts w:ascii="楷体" w:hAnsi="楷体" w:eastAsia="楷体" w:cs="楷体"/>
                <w:spacing w:val="-1"/>
                <w:sz w:val="21"/>
                <w:szCs w:val="21"/>
              </w:rPr>
              <w:t>三、</w:t>
            </w:r>
            <w:r>
              <w:rPr>
                <w:rFonts w:hint="eastAsia" w:ascii="楷体" w:hAnsi="楷体" w:eastAsia="楷体" w:cs="楷体"/>
                <w:spacing w:val="-1"/>
                <w:sz w:val="21"/>
                <w:szCs w:val="21"/>
              </w:rPr>
              <w:t>枣庄市生态环境局峄城分局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8"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11"/>
                <w:sz w:val="21"/>
                <w:szCs w:val="21"/>
              </w:rPr>
              <w:t>委托技术单位编制环境影响报告书（表）</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before="68" w:line="229" w:lineRule="auto"/>
              <w:ind w:right="-18"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建设项目环境影响评价审批</w:t>
            </w:r>
          </w:p>
        </w:tc>
        <w:tc>
          <w:tcPr>
            <w:tcW w:w="1981" w:type="dxa"/>
            <w:gridSpan w:val="3"/>
            <w:tcBorders>
              <w:top w:val="single" w:color="000000" w:sz="4" w:space="0"/>
              <w:left w:val="single" w:color="000000" w:sz="4" w:space="0"/>
              <w:bottom w:val="single" w:color="000000" w:sz="4" w:space="0"/>
              <w:right w:val="single" w:color="000000" w:sz="4" w:space="0"/>
            </w:tcBorders>
            <w:vAlign w:val="center"/>
          </w:tcPr>
          <w:p>
            <w:pPr>
              <w:spacing w:before="46" w:line="225" w:lineRule="auto"/>
              <w:ind w:left="149" w:right="65" w:hanging="9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建设项目环境影响评价审批(环境影响报告表)</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86" w:line="280" w:lineRule="exact"/>
              <w:ind w:left="21" w:right="1" w:hanging="1"/>
              <w:jc w:val="left"/>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8"/>
                <w:sz w:val="21"/>
                <w:szCs w:val="21"/>
              </w:rPr>
              <w:t>《中华人民共和国环境保护法》、《中华人民共和国环境影响评价法》、《建设项目环境保护管理条例</w:t>
            </w:r>
            <w:r>
              <w:rPr>
                <w:rFonts w:hint="eastAsia" w:asciiTheme="minorEastAsia" w:hAnsiTheme="minorEastAsia" w:eastAsiaTheme="minorEastAsia" w:cstheme="minorEastAsia"/>
                <w:spacing w:val="-8"/>
                <w:sz w:val="21"/>
                <w:szCs w:val="21"/>
                <w:lang w:eastAsia="zh-CN"/>
              </w:rPr>
              <w:t>》</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3" w:line="184"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4.</w:t>
            </w:r>
            <w:r>
              <w:rPr>
                <w:rFonts w:hint="eastAsia" w:asciiTheme="minorEastAsia" w:hAnsiTheme="minorEastAsia" w:eastAsiaTheme="minorEastAsia" w:cstheme="minorEastAsia"/>
                <w:spacing w:val="-2"/>
                <w:sz w:val="21"/>
                <w:szCs w:val="21"/>
              </w:rPr>
              <w:t>入河排污口设置论证报告</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51" w:line="28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在江河、湖泊新建、改建、扩建排污口的审批</w:t>
            </w:r>
          </w:p>
        </w:tc>
        <w:tc>
          <w:tcPr>
            <w:tcW w:w="1981" w:type="dxa"/>
            <w:gridSpan w:val="3"/>
            <w:tcBorders>
              <w:top w:val="single" w:color="000000" w:sz="4" w:space="0"/>
              <w:left w:val="single" w:color="000000" w:sz="4" w:space="0"/>
              <w:bottom w:val="single" w:color="000000" w:sz="4" w:space="0"/>
              <w:right w:val="single" w:color="000000" w:sz="4" w:space="0"/>
            </w:tcBorders>
            <w:vAlign w:val="center"/>
          </w:tcPr>
          <w:p>
            <w:pPr>
              <w:spacing w:before="11" w:line="241" w:lineRule="auto"/>
              <w:ind w:firstLine="328"/>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2"/>
                <w:sz w:val="21"/>
                <w:szCs w:val="21"/>
                <w:lang w:eastAsia="zh-CN"/>
              </w:rPr>
              <w:t>无</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280" w:lineRule="exact"/>
              <w:ind w:right="2"/>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《入河排污口监督管理办法》第七条，《入河排污口监督管理办法》第十条（备注：非强制性，建设单位一般不具备相应技术能力，主要需委托第三方开展）</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739" w:type="dxa"/>
            <w:gridSpan w:val="9"/>
            <w:tcBorders>
              <w:top w:val="single" w:color="000000" w:sz="4" w:space="0"/>
              <w:left w:val="single" w:color="000000" w:sz="12" w:space="0"/>
              <w:bottom w:val="single" w:color="000000" w:sz="4" w:space="0"/>
              <w:right w:val="single" w:color="000000" w:sz="1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280" w:lineRule="exact"/>
              <w:ind w:firstLine="544"/>
              <w:textAlignment w:val="baseline"/>
              <w:rPr>
                <w:rFonts w:hint="eastAsia" w:asciiTheme="minorEastAsia" w:hAnsiTheme="minorEastAsia" w:eastAsiaTheme="minorEastAsia" w:cstheme="minorEastAsia"/>
                <w:sz w:val="21"/>
                <w:szCs w:val="21"/>
              </w:rPr>
            </w:pPr>
            <w:r>
              <w:rPr>
                <w:rFonts w:hint="eastAsia" w:ascii="楷体" w:hAnsi="楷体" w:eastAsia="楷体" w:cs="楷体"/>
                <w:spacing w:val="-1"/>
                <w:sz w:val="21"/>
                <w:szCs w:val="21"/>
              </w:rPr>
              <w:t>四、峄城区城乡水务局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443" w:type="dxa"/>
            <w:tcBorders>
              <w:top w:val="single" w:color="000000" w:sz="4" w:space="0"/>
              <w:left w:val="single" w:color="000000" w:sz="12" w:space="0"/>
              <w:bottom w:val="single" w:color="000000" w:sz="4" w:space="0"/>
              <w:right w:val="single" w:color="000000" w:sz="4" w:space="0"/>
            </w:tcBorders>
            <w:vAlign w:val="center"/>
          </w:tcPr>
          <w:p>
            <w:pPr>
              <w:spacing w:before="68" w:line="239" w:lineRule="auto"/>
              <w:ind w:right="163"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z w:val="21"/>
                <w:szCs w:val="21"/>
              </w:rPr>
              <w:t>项目建设对大坝安全影响评价报告</w:t>
            </w:r>
          </w:p>
        </w:tc>
        <w:tc>
          <w:tcPr>
            <w:tcW w:w="1468" w:type="dxa"/>
            <w:gridSpan w:val="2"/>
            <w:tcBorders>
              <w:top w:val="single" w:color="000000" w:sz="4" w:space="0"/>
              <w:left w:val="single" w:color="000000" w:sz="4" w:space="0"/>
              <w:bottom w:val="single" w:color="000000" w:sz="4" w:space="0"/>
              <w:right w:val="single" w:color="000000" w:sz="4" w:space="0"/>
            </w:tcBorders>
            <w:vAlign w:val="center"/>
          </w:tcPr>
          <w:p>
            <w:pPr>
              <w:spacing w:before="68" w:line="239" w:lineRule="auto"/>
              <w:ind w:right="-18"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在大坝管理和保护范围内修建码头、渔塘许可</w:t>
            </w:r>
          </w:p>
        </w:tc>
        <w:tc>
          <w:tcPr>
            <w:tcW w:w="1979" w:type="dxa"/>
            <w:tcBorders>
              <w:top w:val="single" w:color="000000" w:sz="4" w:space="0"/>
              <w:left w:val="single" w:color="000000" w:sz="4" w:space="0"/>
              <w:bottom w:val="single" w:color="000000" w:sz="4" w:space="0"/>
              <w:right w:val="single" w:color="000000" w:sz="4" w:space="0"/>
            </w:tcBorders>
            <w:vAlign w:val="center"/>
          </w:tcPr>
          <w:p>
            <w:pPr>
              <w:spacing w:before="68" w:line="239" w:lineRule="auto"/>
              <w:ind w:right="4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c>
          <w:tcPr>
            <w:tcW w:w="13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280" w:lineRule="exact"/>
              <w:ind w:firstLine="206" w:firstLineChars="10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行政许可</w:t>
            </w:r>
          </w:p>
        </w:tc>
        <w:tc>
          <w:tcPr>
            <w:tcW w:w="6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lang w:val="en-US" w:eastAsia="zh-CN"/>
              </w:rPr>
              <w:t>《水库大坝安全管理条例》第十七条　禁止在坝体修建码头、渠道、堆放杂物、晾晒粮草。在大坝管理和保护范围内修建码头、鱼塘的，须经大坝主管部门批准，并与坝脚和泄水、</w:t>
            </w:r>
            <w:r>
              <w:rPr>
                <w:rFonts w:hint="eastAsia" w:asciiTheme="minorEastAsia" w:hAnsiTheme="minorEastAsia" w:eastAsiaTheme="minorEastAsia" w:cstheme="minorEastAsia"/>
                <w:spacing w:val="-7"/>
                <w:sz w:val="21"/>
                <w:szCs w:val="21"/>
                <w:lang w:val="en-US" w:eastAsia="zh-CN"/>
              </w:rPr>
              <w:fldChar w:fldCharType="begin"/>
            </w:r>
            <w:r>
              <w:rPr>
                <w:rFonts w:hint="eastAsia" w:asciiTheme="minorEastAsia" w:hAnsiTheme="minorEastAsia" w:eastAsiaTheme="minorEastAsia" w:cstheme="minorEastAsia"/>
                <w:spacing w:val="-7"/>
                <w:sz w:val="21"/>
                <w:szCs w:val="21"/>
                <w:lang w:val="en-US" w:eastAsia="zh-CN"/>
              </w:rPr>
              <w:instrText xml:space="preserve"> HYPERLINK "https://baike.baidu.com/item/%E8%BE%93%E6%B0%B4%E5%BB%BA%E7%AD%91%E7%89%A9/4326079" \t "https://baike.baidu.com/item/%E6%B0%B4%E5%BA%93%E5%A4%A7%E5%9D%9D%E5%AE%89%E5%85%A8%E7%AE%A1%E7%90%86%E6%9D%A1%E4%BE%8B/_blank" </w:instrText>
            </w:r>
            <w:r>
              <w:rPr>
                <w:rFonts w:hint="eastAsia" w:asciiTheme="minorEastAsia" w:hAnsiTheme="minorEastAsia" w:eastAsiaTheme="minorEastAsia" w:cstheme="minorEastAsia"/>
                <w:spacing w:val="-7"/>
                <w:sz w:val="21"/>
                <w:szCs w:val="21"/>
                <w:lang w:val="en-US" w:eastAsia="zh-CN"/>
              </w:rPr>
              <w:fldChar w:fldCharType="separate"/>
            </w:r>
            <w:r>
              <w:rPr>
                <w:rFonts w:hint="eastAsia" w:asciiTheme="minorEastAsia" w:hAnsiTheme="minorEastAsia" w:eastAsiaTheme="minorEastAsia" w:cstheme="minorEastAsia"/>
                <w:spacing w:val="-7"/>
                <w:sz w:val="21"/>
                <w:szCs w:val="21"/>
                <w:lang w:val="en-US" w:eastAsia="zh-CN"/>
              </w:rPr>
              <w:t>输水建筑物</w:t>
            </w:r>
            <w:r>
              <w:rPr>
                <w:rFonts w:hint="eastAsia" w:asciiTheme="minorEastAsia" w:hAnsiTheme="minorEastAsia" w:eastAsiaTheme="minorEastAsia" w:cstheme="minorEastAsia"/>
                <w:spacing w:val="-7"/>
                <w:sz w:val="21"/>
                <w:szCs w:val="21"/>
                <w:lang w:val="en-US" w:eastAsia="zh-CN"/>
              </w:rPr>
              <w:fldChar w:fldCharType="end"/>
            </w:r>
            <w:r>
              <w:rPr>
                <w:rFonts w:hint="eastAsia" w:asciiTheme="minorEastAsia" w:hAnsiTheme="minorEastAsia" w:eastAsiaTheme="minorEastAsia" w:cstheme="minorEastAsia"/>
                <w:spacing w:val="-7"/>
                <w:sz w:val="21"/>
                <w:szCs w:val="21"/>
                <w:lang w:val="en-US" w:eastAsia="zh-CN"/>
              </w:rPr>
              <w:t>保持一定距离，不得影响大坝安全、工程管理和抢险工作。</w:t>
            </w:r>
          </w:p>
        </w:tc>
        <w:tc>
          <w:tcPr>
            <w:tcW w:w="1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4" w:hRule="atLeast"/>
        </w:trPr>
        <w:tc>
          <w:tcPr>
            <w:tcW w:w="1443"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Theme="minorEastAsia" w:hAnsiTheme="minorEastAsia" w:eastAsiaTheme="minorEastAsia" w:cstheme="minorEastAsia"/>
                <w:sz w:val="21"/>
                <w:szCs w:val="21"/>
                <w:lang w:val="en-US" w:eastAsia="zh-CN"/>
              </w:rPr>
            </w:pPr>
          </w:p>
          <w:p>
            <w:pPr>
              <w:numPr>
                <w:ilvl w:val="0"/>
                <w:numId w:val="1"/>
              </w:num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水库大坝</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（水闸）安全鉴定意见</w:t>
            </w:r>
          </w:p>
        </w:tc>
        <w:tc>
          <w:tcPr>
            <w:tcW w:w="1468"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Theme="minorEastAsia" w:hAnsiTheme="minorEastAsia" w:eastAsiaTheme="minorEastAsia" w:cstheme="minorEastAsia"/>
                <w:sz w:val="21"/>
                <w:szCs w:val="21"/>
              </w:rPr>
            </w:pPr>
          </w:p>
          <w:p>
            <w:pP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对水库大坝</w:t>
            </w:r>
          </w:p>
          <w:p>
            <w:pPr>
              <w:bidi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（水闸）安全鉴定意见的审定</w:t>
            </w:r>
          </w:p>
        </w:tc>
        <w:tc>
          <w:tcPr>
            <w:tcW w:w="1979" w:type="dxa"/>
            <w:tcBorders>
              <w:top w:val="single" w:color="000000" w:sz="4" w:space="0"/>
              <w:left w:val="single" w:color="000000" w:sz="4" w:space="0"/>
              <w:bottom w:val="single" w:color="000000" w:sz="12" w:space="0"/>
              <w:right w:val="single" w:color="000000" w:sz="4" w:space="0"/>
            </w:tcBorders>
            <w:vAlign w:val="center"/>
          </w:tcPr>
          <w:p>
            <w:pPr>
              <w:spacing w:line="286" w:lineRule="auto"/>
              <w:jc w:val="center"/>
              <w:rPr>
                <w:rFonts w:hint="eastAsia" w:asciiTheme="minorEastAsia" w:hAnsiTheme="minorEastAsia" w:eastAsiaTheme="minorEastAsia" w:cstheme="minorEastAsia"/>
                <w:sz w:val="24"/>
                <w:szCs w:val="24"/>
              </w:rPr>
            </w:pPr>
          </w:p>
          <w:p>
            <w:pPr>
              <w:spacing w:before="69" w:line="239" w:lineRule="auto"/>
              <w:ind w:right="4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无</w:t>
            </w:r>
          </w:p>
        </w:tc>
        <w:tc>
          <w:tcPr>
            <w:tcW w:w="1364"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jc w:val="both"/>
              <w:textAlignment w:val="baseline"/>
              <w:rPr>
                <w:rFonts w:hint="eastAsia" w:asciiTheme="minorEastAsia" w:hAnsiTheme="minorEastAsia" w:eastAsiaTheme="minorEastAsia" w:cstheme="minorEastAsia"/>
                <w:spacing w:val="-7"/>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2" w:firstLine="196" w:firstLineChars="100"/>
              <w:jc w:val="both"/>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行政确认</w:t>
            </w:r>
          </w:p>
        </w:tc>
        <w:tc>
          <w:tcPr>
            <w:tcW w:w="6043"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20" w:lineRule="exact"/>
              <w:ind w:left="17" w:right="0" w:firstLine="17"/>
              <w:jc w:val="left"/>
              <w:textAlignment w:val="baseline"/>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rPr>
              <w:t>《水库大坝安全鉴定办法》</w:t>
            </w:r>
            <w:r>
              <w:rPr>
                <w:rFonts w:hint="eastAsia" w:asciiTheme="minorEastAsia" w:hAnsiTheme="minorEastAsia" w:eastAsiaTheme="minorEastAsia" w:cstheme="minorEastAsia"/>
                <w:spacing w:val="-7"/>
                <w:sz w:val="21"/>
                <w:szCs w:val="21"/>
                <w:lang w:val="en-US" w:eastAsia="zh-CN"/>
              </w:rPr>
              <w:t>第十一条大型水库和影响县城安全或坝高50m以上中型水库的大坝安全评价，由具有水利水电勘测设计甲级资质的单位或者水利部公布的有关科研单位和大专院校承担。其他中型水库和影响县城安全或坝高30m以上小型水库的大坝安全评价由具有水利水电勘测设计乙级以上(含乙级)资质的单位承担；其他小型水库的大坝安全评价由具有水利水电勘测设计丙级以上(含丙级)资质的单位承担。上述水库的大坝安全评价也可以由省级水行政主管部门公布的有关科研单位和大专院校承担。鉴定承担单位实行动态管理，对业绩表现差，成果质量不能满足要求的鉴定承担单位应当取消其承担大坝安全评价的资格。</w:t>
            </w:r>
          </w:p>
        </w:tc>
        <w:tc>
          <w:tcPr>
            <w:tcW w:w="1389"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3"/>
                <w:sz w:val="21"/>
                <w:szCs w:val="21"/>
              </w:rPr>
              <w:t>市场调节</w:t>
            </w:r>
            <w:r>
              <w:rPr>
                <w:rFonts w:hint="eastAsia" w:asciiTheme="minorEastAsia" w:hAnsiTheme="minorEastAsia" w:eastAsiaTheme="minorEastAsia" w:cstheme="minorEastAsia"/>
                <w:spacing w:val="1"/>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280" w:lineRule="exact"/>
              <w:ind w:left="0" w:leftChars="0" w:right="9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价格</w:t>
            </w:r>
          </w:p>
        </w:tc>
        <w:tc>
          <w:tcPr>
            <w:tcW w:w="1053"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280" w:lineRule="exact"/>
              <w:ind w:right="84" w:right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双方协商</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3"/>
                <w:sz w:val="21"/>
                <w:szCs w:val="21"/>
              </w:rPr>
              <w:t>约定</w:t>
            </w:r>
          </w:p>
        </w:tc>
      </w:tr>
    </w:tbl>
    <w:p>
      <w:pPr>
        <w:sectPr>
          <w:footerReference r:id="rId6" w:type="default"/>
          <w:pgSz w:w="16840" w:h="11905"/>
          <w:pgMar w:top="1011" w:right="1037" w:bottom="1816" w:left="1033" w:header="0" w:footer="1624" w:gutter="0"/>
          <w:pgBorders>
            <w:top w:val="none" w:sz="0" w:space="0"/>
            <w:left w:val="none" w:sz="0" w:space="0"/>
            <w:bottom w:val="none" w:sz="0" w:space="0"/>
            <w:right w:val="none" w:sz="0" w:space="0"/>
          </w:pgBorders>
          <w:pgNumType w:fmt="numberInDash"/>
          <w:cols w:space="720" w:num="1"/>
        </w:sectPr>
      </w:pPr>
    </w:p>
    <w:p>
      <w:pPr>
        <w:bidi w:val="0"/>
      </w:pPr>
    </w:p>
    <w:tbl>
      <w:tblPr>
        <w:tblStyle w:val="8"/>
        <w:tblpPr w:leftFromText="180" w:rightFromText="180" w:vertAnchor="text" w:horzAnchor="page" w:tblpX="1079" w:tblpY="190"/>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500"/>
        <w:gridCol w:w="5906"/>
        <w:gridCol w:w="1389"/>
        <w:gridCol w:w="1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946"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5906"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9" w:right="154"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4" w:type="dxa"/>
            <w:vMerge w:val="restart"/>
            <w:tcBorders>
              <w:top w:val="single" w:color="000000" w:sz="12" w:space="0"/>
              <w:bottom w:val="nil"/>
              <w:right w:val="single" w:color="000000" w:sz="12" w:space="0"/>
            </w:tcBorders>
            <w:vAlign w:val="top"/>
          </w:tcPr>
          <w:p>
            <w:pPr>
              <w:spacing w:before="276" w:line="239" w:lineRule="auto"/>
              <w:ind w:firstLine="332"/>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2"/>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5"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500"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5906"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4"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739" w:type="dxa"/>
            <w:gridSpan w:val="7"/>
            <w:tcBorders>
              <w:left w:val="single" w:color="000000" w:sz="12" w:space="0"/>
              <w:right w:val="single" w:color="000000" w:sz="12" w:space="0"/>
            </w:tcBorders>
            <w:vAlign w:val="top"/>
          </w:tcPr>
          <w:p>
            <w:pPr>
              <w:spacing w:before="166" w:line="184" w:lineRule="auto"/>
              <w:ind w:firstLine="529"/>
              <w:rPr>
                <w:rFonts w:ascii="楷体" w:hAnsi="楷体" w:eastAsia="楷体" w:cs="楷体"/>
                <w:sz w:val="21"/>
                <w:szCs w:val="21"/>
              </w:rPr>
            </w:pPr>
            <w:r>
              <w:rPr>
                <w:rFonts w:ascii="楷体" w:hAnsi="楷体" w:eastAsia="楷体" w:cs="楷体"/>
                <w:spacing w:val="-1"/>
                <w:sz w:val="21"/>
                <w:szCs w:val="21"/>
              </w:rPr>
              <w:t>五、</w:t>
            </w:r>
            <w:r>
              <w:rPr>
                <w:rFonts w:hint="eastAsia" w:ascii="楷体" w:hAnsi="楷体" w:eastAsia="楷体" w:cs="楷体"/>
                <w:spacing w:val="-1"/>
                <w:sz w:val="21"/>
                <w:szCs w:val="21"/>
              </w:rPr>
              <w:t>峄城区住房和城乡建设局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6" w:hRule="atLeast"/>
        </w:trPr>
        <w:tc>
          <w:tcPr>
            <w:tcW w:w="1444" w:type="dxa"/>
            <w:tcBorders>
              <w:left w:val="single" w:color="000000" w:sz="12" w:space="0"/>
            </w:tcBorders>
            <w:vAlign w:val="center"/>
          </w:tcPr>
          <w:p>
            <w:pPr>
              <w:numPr>
                <w:ilvl w:val="0"/>
                <w:numId w:val="0"/>
              </w:numPr>
              <w:spacing w:before="63" w:line="184" w:lineRule="auto"/>
              <w:ind w:leftChars="0"/>
              <w:jc w:val="center"/>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rPr>
              <w:t>消防设施</w:t>
            </w:r>
          </w:p>
          <w:p>
            <w:pPr>
              <w:numPr>
                <w:ilvl w:val="0"/>
                <w:numId w:val="0"/>
              </w:numPr>
              <w:spacing w:before="63" w:line="184" w:lineRule="auto"/>
              <w:jc w:val="center"/>
              <w:rPr>
                <w:rFonts w:ascii="宋体" w:hAnsi="宋体" w:eastAsia="宋体" w:cs="宋体"/>
                <w:sz w:val="21"/>
                <w:szCs w:val="21"/>
              </w:rPr>
            </w:pPr>
            <w:r>
              <w:rPr>
                <w:rFonts w:hint="eastAsia" w:ascii="宋体" w:hAnsi="宋体" w:eastAsia="宋体" w:cs="宋体"/>
                <w:spacing w:val="-2"/>
                <w:sz w:val="21"/>
                <w:szCs w:val="21"/>
              </w:rPr>
              <w:t>检测</w:t>
            </w:r>
          </w:p>
        </w:tc>
        <w:tc>
          <w:tcPr>
            <w:tcW w:w="1466" w:type="dxa"/>
            <w:vAlign w:val="center"/>
          </w:tcPr>
          <w:p>
            <w:pPr>
              <w:spacing w:before="186" w:line="239" w:lineRule="auto"/>
              <w:ind w:right="112"/>
              <w:jc w:val="center"/>
              <w:rPr>
                <w:rFonts w:ascii="宋体" w:hAnsi="宋体" w:eastAsia="宋体" w:cs="宋体"/>
                <w:sz w:val="21"/>
                <w:szCs w:val="21"/>
              </w:rPr>
            </w:pPr>
            <w:r>
              <w:rPr>
                <w:rFonts w:hint="eastAsia" w:ascii="宋体" w:hAnsi="宋体" w:eastAsia="宋体" w:cs="宋体"/>
                <w:spacing w:val="-2"/>
                <w:sz w:val="21"/>
                <w:szCs w:val="21"/>
              </w:rPr>
              <w:t>特殊建设工程消防验收</w:t>
            </w:r>
          </w:p>
        </w:tc>
        <w:tc>
          <w:tcPr>
            <w:tcW w:w="1980" w:type="dxa"/>
            <w:vAlign w:val="center"/>
          </w:tcPr>
          <w:p>
            <w:pPr>
              <w:spacing w:before="322"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500" w:type="dxa"/>
            <w:vAlign w:val="center"/>
          </w:tcPr>
          <w:p>
            <w:pPr>
              <w:spacing w:before="322"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59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23"/>
              <w:jc w:val="left"/>
              <w:textAlignment w:val="baseline"/>
              <w:rPr>
                <w:rFonts w:ascii="宋体" w:hAnsi="宋体" w:eastAsia="宋体" w:cs="宋体"/>
                <w:sz w:val="21"/>
                <w:szCs w:val="21"/>
              </w:rPr>
            </w:pPr>
            <w:r>
              <w:rPr>
                <w:rFonts w:hint="eastAsia" w:ascii="宋体" w:hAnsi="宋体" w:eastAsia="宋体" w:cs="宋体"/>
                <w:spacing w:val="-4"/>
                <w:sz w:val="21"/>
                <w:szCs w:val="21"/>
                <w:lang w:val="en-US" w:eastAsia="zh-CN"/>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444" w:type="dxa"/>
            <w:tcBorders>
              <w:left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119" w:rightChars="0"/>
              <w:jc w:val="center"/>
              <w:textAlignment w:val="baseline"/>
              <w:rPr>
                <w:rFonts w:hint="eastAsia" w:ascii="Times New Roman" w:hAnsi="Times New Roman" w:eastAsia="宋体" w:cs="Times New Roman"/>
                <w:spacing w:val="-2"/>
                <w:sz w:val="21"/>
                <w:szCs w:val="21"/>
                <w:lang w:val="en-US" w:eastAsia="zh-CN"/>
              </w:rPr>
            </w:pPr>
            <w:r>
              <w:rPr>
                <w:rFonts w:hint="eastAsia" w:ascii="Times New Roman" w:hAnsi="Times New Roman" w:eastAsia="宋体" w:cs="Times New Roman"/>
                <w:spacing w:val="-2"/>
                <w:sz w:val="21"/>
                <w:szCs w:val="21"/>
                <w:lang w:val="en-US" w:eastAsia="zh-CN"/>
              </w:rPr>
              <w:t>8.消防设施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119" w:rightChars="0"/>
              <w:jc w:val="center"/>
              <w:textAlignment w:val="baseline"/>
              <w:rPr>
                <w:rFonts w:ascii="宋体" w:hAnsi="宋体" w:eastAsia="宋体" w:cs="宋体"/>
                <w:sz w:val="21"/>
                <w:szCs w:val="21"/>
              </w:rPr>
            </w:pPr>
            <w:r>
              <w:rPr>
                <w:rFonts w:hint="eastAsia" w:ascii="Times New Roman" w:hAnsi="Times New Roman" w:eastAsia="宋体" w:cs="Times New Roman"/>
                <w:spacing w:val="-2"/>
                <w:sz w:val="21"/>
                <w:szCs w:val="21"/>
                <w:lang w:val="en-US" w:eastAsia="zh-CN"/>
              </w:rPr>
              <w:t>检测</w:t>
            </w:r>
          </w:p>
        </w:tc>
        <w:tc>
          <w:tcPr>
            <w:tcW w:w="1466" w:type="dxa"/>
            <w:vAlign w:val="center"/>
          </w:tcPr>
          <w:p>
            <w:pPr>
              <w:spacing w:before="157" w:line="239" w:lineRule="auto"/>
              <w:ind w:right="112"/>
              <w:jc w:val="center"/>
              <w:rPr>
                <w:rFonts w:ascii="宋体" w:hAnsi="宋体" w:eastAsia="宋体" w:cs="宋体"/>
                <w:sz w:val="21"/>
                <w:szCs w:val="21"/>
              </w:rPr>
            </w:pPr>
            <w:r>
              <w:rPr>
                <w:rFonts w:hint="eastAsia" w:ascii="宋体" w:hAnsi="宋体" w:eastAsia="宋体" w:cs="宋体"/>
                <w:spacing w:val="-2"/>
                <w:sz w:val="21"/>
                <w:szCs w:val="21"/>
              </w:rPr>
              <w:t>建设工程竣工验收消防备案</w:t>
            </w:r>
          </w:p>
        </w:tc>
        <w:tc>
          <w:tcPr>
            <w:tcW w:w="1980" w:type="dxa"/>
            <w:vAlign w:val="center"/>
          </w:tcPr>
          <w:p>
            <w:pPr>
              <w:spacing w:before="292"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500" w:type="dxa"/>
            <w:vAlign w:val="center"/>
          </w:tcPr>
          <w:p>
            <w:pPr>
              <w:spacing w:before="292" w:line="184" w:lineRule="auto"/>
              <w:jc w:val="center"/>
              <w:rPr>
                <w:rFonts w:ascii="宋体" w:hAnsi="宋体" w:eastAsia="宋体" w:cs="宋体"/>
                <w:sz w:val="21"/>
                <w:szCs w:val="21"/>
              </w:rPr>
            </w:pPr>
            <w:r>
              <w:rPr>
                <w:rFonts w:hint="eastAsia" w:ascii="宋体" w:hAnsi="宋体" w:eastAsia="宋体" w:cs="宋体"/>
                <w:spacing w:val="-2"/>
                <w:sz w:val="21"/>
                <w:szCs w:val="21"/>
              </w:rPr>
              <w:t>其他行政权力</w:t>
            </w:r>
          </w:p>
        </w:tc>
        <w:tc>
          <w:tcPr>
            <w:tcW w:w="59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7"/>
              <w:jc w:val="left"/>
              <w:textAlignment w:val="baseline"/>
              <w:rPr>
                <w:rFonts w:ascii="宋体" w:hAnsi="宋体" w:eastAsia="宋体" w:cs="宋体"/>
                <w:sz w:val="21"/>
                <w:szCs w:val="21"/>
              </w:rPr>
            </w:pPr>
            <w:r>
              <w:rPr>
                <w:rFonts w:hint="eastAsia" w:ascii="宋体" w:hAnsi="宋体" w:eastAsia="宋体" w:cs="宋体"/>
                <w:spacing w:val="-4"/>
                <w:sz w:val="21"/>
                <w:szCs w:val="21"/>
              </w:rPr>
              <w:t>1.《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2.《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 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444" w:type="dxa"/>
            <w:vMerge w:val="restart"/>
            <w:tcBorders>
              <w:left w:val="single" w:color="000000" w:sz="12" w:space="0"/>
            </w:tcBorders>
            <w:vAlign w:val="top"/>
          </w:tcPr>
          <w:p>
            <w:pPr>
              <w:spacing w:before="277" w:line="239" w:lineRule="auto"/>
              <w:ind w:left="501" w:leftChars="0" w:right="95" w:rightChars="0" w:hanging="401" w:firstLineChars="0"/>
              <w:rPr>
                <w:rFonts w:hint="eastAsia" w:ascii="Times New Roman" w:hAnsi="Times New Roman" w:eastAsia="宋体" w:cs="Times New Roman"/>
                <w:spacing w:val="-2"/>
                <w:sz w:val="21"/>
                <w:szCs w:val="21"/>
                <w:lang w:val="en-US" w:eastAsia="zh-CN"/>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946" w:type="dxa"/>
            <w:gridSpan w:val="3"/>
            <w:vAlign w:val="top"/>
          </w:tcPr>
          <w:p>
            <w:pPr>
              <w:spacing w:before="192" w:line="184" w:lineRule="auto"/>
              <w:ind w:firstLine="1464" w:firstLineChars="0"/>
              <w:rPr>
                <w:rFonts w:hint="eastAsia" w:ascii="宋体" w:hAnsi="宋体" w:eastAsia="宋体" w:cs="宋体"/>
                <w:spacing w:val="-2"/>
                <w:sz w:val="21"/>
                <w:szCs w:val="21"/>
              </w:rPr>
            </w:pPr>
            <w:r>
              <w:rPr>
                <w:rFonts w:ascii="黑体" w:hAnsi="黑体" w:eastAsia="黑体" w:cs="黑体"/>
                <w:spacing w:val="-2"/>
                <w:sz w:val="21"/>
                <w:szCs w:val="21"/>
              </w:rPr>
              <w:t>关联的政务服务事项</w:t>
            </w:r>
          </w:p>
        </w:tc>
        <w:tc>
          <w:tcPr>
            <w:tcW w:w="5906" w:type="dxa"/>
            <w:vMerge w:val="restart"/>
            <w:vAlign w:val="top"/>
          </w:tcPr>
          <w:p>
            <w:pPr>
              <w:spacing w:line="303" w:lineRule="auto"/>
              <w:rPr>
                <w:rFonts w:ascii="宋体"/>
                <w:sz w:val="21"/>
              </w:rPr>
            </w:pPr>
          </w:p>
          <w:p>
            <w:pPr>
              <w:spacing w:before="68" w:line="184" w:lineRule="auto"/>
              <w:ind w:firstLine="2615" w:firstLineChars="0"/>
              <w:rPr>
                <w:rFonts w:hint="eastAsia" w:ascii="宋体" w:hAnsi="宋体" w:eastAsia="宋体" w:cs="宋体"/>
                <w:spacing w:val="-4"/>
                <w:sz w:val="21"/>
                <w:szCs w:val="21"/>
              </w:rPr>
            </w:pPr>
            <w:r>
              <w:rPr>
                <w:rFonts w:ascii="黑体" w:hAnsi="黑体" w:eastAsia="黑体" w:cs="黑体"/>
                <w:spacing w:val="-3"/>
                <w:sz w:val="21"/>
                <w:szCs w:val="21"/>
              </w:rPr>
              <w:t>设定依据</w:t>
            </w:r>
          </w:p>
        </w:tc>
        <w:tc>
          <w:tcPr>
            <w:tcW w:w="1389" w:type="dxa"/>
            <w:vMerge w:val="restart"/>
            <w:vAlign w:val="top"/>
          </w:tcPr>
          <w:p>
            <w:pPr>
              <w:spacing w:before="277" w:line="239" w:lineRule="auto"/>
              <w:ind w:left="499" w:leftChars="0" w:right="154" w:rightChars="0" w:hanging="308" w:firstLineChars="0"/>
              <w:rPr>
                <w:rFonts w:ascii="宋体" w:hAnsi="宋体" w:eastAsia="宋体" w:cs="宋体"/>
                <w:spacing w:val="-3"/>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4" w:type="dxa"/>
            <w:vMerge w:val="restart"/>
            <w:tcBorders>
              <w:right w:val="single" w:color="000000" w:sz="12" w:space="0"/>
            </w:tcBorders>
            <w:vAlign w:val="top"/>
          </w:tcPr>
          <w:p>
            <w:pPr>
              <w:spacing w:before="276" w:line="239" w:lineRule="auto"/>
              <w:ind w:firstLine="332"/>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2" w:firstLineChars="0"/>
              <w:rPr>
                <w:rFonts w:ascii="宋体" w:hAnsi="宋体" w:eastAsia="宋体" w:cs="宋体"/>
                <w:spacing w:val="-3"/>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44" w:type="dxa"/>
            <w:vMerge w:val="continue"/>
            <w:tcBorders>
              <w:left w:val="single" w:color="000000" w:sz="12" w:space="0"/>
            </w:tcBorders>
            <w:vAlign w:val="center"/>
          </w:tcPr>
          <w:p>
            <w:pPr>
              <w:numPr>
                <w:ilvl w:val="0"/>
                <w:numId w:val="0"/>
              </w:numPr>
              <w:spacing w:before="157" w:line="239" w:lineRule="auto"/>
              <w:ind w:right="120" w:rightChars="0"/>
              <w:jc w:val="both"/>
              <w:rPr>
                <w:rFonts w:hint="eastAsia" w:ascii="Times New Roman" w:hAnsi="Times New Roman" w:eastAsia="宋体" w:cs="Times New Roman"/>
                <w:spacing w:val="-2"/>
                <w:sz w:val="21"/>
                <w:szCs w:val="21"/>
                <w:lang w:val="en-US" w:eastAsia="zh-CN"/>
              </w:rPr>
            </w:pPr>
          </w:p>
        </w:tc>
        <w:tc>
          <w:tcPr>
            <w:tcW w:w="1466" w:type="dxa"/>
            <w:vAlign w:val="top"/>
          </w:tcPr>
          <w:p>
            <w:pPr>
              <w:spacing w:before="135" w:line="184" w:lineRule="auto"/>
              <w:ind w:firstLine="318" w:firstLineChars="0"/>
              <w:rPr>
                <w:rFonts w:hint="eastAsia" w:ascii="宋体" w:hAnsi="宋体" w:eastAsia="宋体" w:cs="宋体"/>
                <w:spacing w:val="-2"/>
                <w:sz w:val="21"/>
                <w:szCs w:val="21"/>
              </w:rPr>
            </w:pPr>
            <w:r>
              <w:rPr>
                <w:rFonts w:ascii="黑体" w:hAnsi="黑体" w:eastAsia="黑体" w:cs="黑体"/>
                <w:spacing w:val="-4"/>
                <w:sz w:val="21"/>
                <w:szCs w:val="21"/>
              </w:rPr>
              <w:t>主项名称</w:t>
            </w:r>
          </w:p>
        </w:tc>
        <w:tc>
          <w:tcPr>
            <w:tcW w:w="1980" w:type="dxa"/>
            <w:vAlign w:val="top"/>
          </w:tcPr>
          <w:p>
            <w:pPr>
              <w:spacing w:before="135" w:line="184" w:lineRule="auto"/>
              <w:ind w:firstLine="574" w:firstLineChars="0"/>
              <w:rPr>
                <w:rFonts w:ascii="宋体" w:hAnsi="宋体" w:eastAsia="宋体" w:cs="宋体"/>
                <w:sz w:val="21"/>
                <w:szCs w:val="21"/>
              </w:rPr>
            </w:pPr>
            <w:r>
              <w:rPr>
                <w:rFonts w:ascii="黑体" w:hAnsi="黑体" w:eastAsia="黑体" w:cs="黑体"/>
                <w:spacing w:val="-3"/>
                <w:sz w:val="21"/>
                <w:szCs w:val="21"/>
              </w:rPr>
              <w:t>子项名称</w:t>
            </w:r>
          </w:p>
        </w:tc>
        <w:tc>
          <w:tcPr>
            <w:tcW w:w="1500" w:type="dxa"/>
            <w:vAlign w:val="top"/>
          </w:tcPr>
          <w:p>
            <w:pPr>
              <w:spacing w:before="135" w:line="184" w:lineRule="auto"/>
              <w:ind w:firstLine="272" w:firstLineChars="0"/>
              <w:rPr>
                <w:rFonts w:hint="eastAsia" w:ascii="宋体" w:hAnsi="宋体" w:eastAsia="宋体" w:cs="宋体"/>
                <w:spacing w:val="-2"/>
                <w:sz w:val="21"/>
                <w:szCs w:val="21"/>
              </w:rPr>
            </w:pPr>
            <w:r>
              <w:rPr>
                <w:rFonts w:ascii="黑体" w:hAnsi="黑体" w:eastAsia="黑体" w:cs="黑体"/>
                <w:spacing w:val="-3"/>
                <w:sz w:val="21"/>
                <w:szCs w:val="21"/>
              </w:rPr>
              <w:t>事项类型</w:t>
            </w:r>
          </w:p>
        </w:tc>
        <w:tc>
          <w:tcPr>
            <w:tcW w:w="5906" w:type="dxa"/>
            <w:vMerge w:val="continue"/>
            <w:vAlign w:val="center"/>
          </w:tcPr>
          <w:p>
            <w:pPr>
              <w:spacing w:before="157" w:line="239" w:lineRule="auto"/>
              <w:ind w:left="19"/>
              <w:jc w:val="left"/>
              <w:rPr>
                <w:rFonts w:hint="eastAsia" w:ascii="宋体" w:hAnsi="宋体" w:eastAsia="宋体" w:cs="宋体"/>
                <w:spacing w:val="-4"/>
                <w:sz w:val="21"/>
                <w:szCs w:val="21"/>
              </w:rPr>
            </w:pPr>
          </w:p>
        </w:tc>
        <w:tc>
          <w:tcPr>
            <w:tcW w:w="1389" w:type="dxa"/>
            <w:vMerge w:val="continue"/>
            <w:vAlign w:val="center"/>
          </w:tcPr>
          <w:p>
            <w:pPr>
              <w:spacing w:before="69" w:line="239" w:lineRule="auto"/>
              <w:ind w:right="260" w:rightChars="0"/>
              <w:jc w:val="center"/>
              <w:rPr>
                <w:rFonts w:ascii="宋体" w:hAnsi="宋体" w:eastAsia="宋体" w:cs="宋体"/>
                <w:spacing w:val="-3"/>
                <w:sz w:val="21"/>
                <w:szCs w:val="21"/>
              </w:rPr>
            </w:pPr>
          </w:p>
        </w:tc>
        <w:tc>
          <w:tcPr>
            <w:tcW w:w="1054" w:type="dxa"/>
            <w:vMerge w:val="continue"/>
            <w:tcBorders>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3" w:hRule="atLeast"/>
        </w:trPr>
        <w:tc>
          <w:tcPr>
            <w:tcW w:w="1444" w:type="dxa"/>
            <w:tcBorders>
              <w:left w:val="single" w:color="000000" w:sz="12" w:space="0"/>
            </w:tcBorders>
            <w:vAlign w:val="center"/>
          </w:tcPr>
          <w:p>
            <w:pPr>
              <w:spacing w:line="300" w:lineRule="auto"/>
              <w:jc w:val="center"/>
              <w:rPr>
                <w:rFonts w:ascii="宋体"/>
                <w:sz w:val="21"/>
              </w:rPr>
            </w:pPr>
          </w:p>
          <w:p>
            <w:pPr>
              <w:spacing w:before="63" w:line="184" w:lineRule="auto"/>
              <w:jc w:val="center"/>
              <w:rPr>
                <w:rFonts w:ascii="宋体" w:hAnsi="宋体" w:eastAsia="宋体" w:cs="宋体"/>
                <w:sz w:val="21"/>
                <w:szCs w:val="21"/>
              </w:rPr>
            </w:pPr>
            <w:r>
              <w:rPr>
                <w:rFonts w:hint="eastAsia" w:ascii="Times New Roman" w:hAnsi="Times New Roman" w:eastAsia="宋体" w:cs="Times New Roman"/>
                <w:spacing w:val="-4"/>
                <w:sz w:val="21"/>
                <w:szCs w:val="21"/>
                <w:lang w:val="en-US" w:eastAsia="zh-CN"/>
              </w:rPr>
              <w:t>9.</w:t>
            </w:r>
            <w:r>
              <w:rPr>
                <w:rFonts w:hint="eastAsia" w:ascii="宋体" w:hAnsi="宋体" w:eastAsia="宋体" w:cs="宋体"/>
                <w:spacing w:val="-4"/>
                <w:sz w:val="21"/>
                <w:szCs w:val="21"/>
              </w:rPr>
              <w:t>消防设施检测</w:t>
            </w:r>
          </w:p>
        </w:tc>
        <w:tc>
          <w:tcPr>
            <w:tcW w:w="1466" w:type="dxa"/>
            <w:vAlign w:val="center"/>
          </w:tcPr>
          <w:p>
            <w:pPr>
              <w:spacing w:line="251" w:lineRule="auto"/>
              <w:jc w:val="center"/>
              <w:rPr>
                <w:rFonts w:ascii="宋体"/>
                <w:sz w:val="21"/>
              </w:rPr>
            </w:pPr>
          </w:p>
          <w:p>
            <w:pPr>
              <w:spacing w:line="251" w:lineRule="auto"/>
              <w:jc w:val="center"/>
              <w:rPr>
                <w:rFonts w:ascii="宋体"/>
                <w:sz w:val="21"/>
              </w:rPr>
            </w:pPr>
          </w:p>
          <w:p>
            <w:pPr>
              <w:spacing w:before="63" w:line="184" w:lineRule="auto"/>
              <w:jc w:val="center"/>
              <w:rPr>
                <w:rFonts w:ascii="宋体" w:hAnsi="宋体" w:eastAsia="宋体" w:cs="宋体"/>
                <w:sz w:val="21"/>
                <w:szCs w:val="21"/>
              </w:rPr>
            </w:pPr>
            <w:r>
              <w:rPr>
                <w:rFonts w:hint="eastAsia" w:ascii="宋体" w:hAnsi="宋体" w:eastAsia="宋体" w:cs="宋体"/>
                <w:spacing w:val="-2"/>
                <w:sz w:val="21"/>
                <w:szCs w:val="21"/>
              </w:rPr>
              <w:t>其他建设工程消防验收备案抽查</w:t>
            </w:r>
          </w:p>
        </w:tc>
        <w:tc>
          <w:tcPr>
            <w:tcW w:w="1980" w:type="dxa"/>
            <w:vAlign w:val="center"/>
          </w:tcPr>
          <w:p>
            <w:pPr>
              <w:spacing w:line="275" w:lineRule="auto"/>
              <w:jc w:val="center"/>
              <w:rPr>
                <w:rFonts w:ascii="宋体"/>
                <w:sz w:val="21"/>
              </w:rPr>
            </w:pPr>
          </w:p>
          <w:p>
            <w:pPr>
              <w:spacing w:line="275" w:lineRule="auto"/>
              <w:jc w:val="center"/>
              <w:rPr>
                <w:rFonts w:ascii="宋体"/>
                <w:sz w:val="21"/>
              </w:rPr>
            </w:pPr>
          </w:p>
          <w:p>
            <w:pPr>
              <w:spacing w:before="68" w:line="239" w:lineRule="auto"/>
              <w:ind w:right="48"/>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无</w:t>
            </w:r>
          </w:p>
        </w:tc>
        <w:tc>
          <w:tcPr>
            <w:tcW w:w="1500" w:type="dxa"/>
            <w:vAlign w:val="center"/>
          </w:tcPr>
          <w:p>
            <w:pPr>
              <w:spacing w:line="249" w:lineRule="auto"/>
              <w:jc w:val="center"/>
              <w:rPr>
                <w:rFonts w:ascii="宋体"/>
                <w:sz w:val="21"/>
              </w:rPr>
            </w:pPr>
          </w:p>
          <w:p>
            <w:pPr>
              <w:spacing w:line="250" w:lineRule="auto"/>
              <w:jc w:val="center"/>
              <w:rPr>
                <w:rFonts w:ascii="宋体"/>
                <w:sz w:val="21"/>
              </w:rPr>
            </w:pPr>
          </w:p>
          <w:p>
            <w:pPr>
              <w:spacing w:before="68" w:line="184" w:lineRule="auto"/>
              <w:jc w:val="center"/>
              <w:rPr>
                <w:rFonts w:ascii="宋体" w:hAnsi="宋体" w:eastAsia="宋体" w:cs="宋体"/>
                <w:sz w:val="21"/>
                <w:szCs w:val="21"/>
              </w:rPr>
            </w:pPr>
            <w:r>
              <w:rPr>
                <w:rFonts w:hint="eastAsia" w:ascii="宋体" w:hAnsi="宋体" w:eastAsia="宋体" w:cs="宋体"/>
                <w:sz w:val="21"/>
                <w:szCs w:val="21"/>
              </w:rPr>
              <w:t>其他行政权力</w:t>
            </w:r>
          </w:p>
        </w:tc>
        <w:tc>
          <w:tcPr>
            <w:tcW w:w="5906" w:type="dxa"/>
            <w:vAlign w:val="center"/>
          </w:tcPr>
          <w:p>
            <w:pPr>
              <w:numPr>
                <w:ilvl w:val="0"/>
                <w:numId w:val="2"/>
              </w:numPr>
              <w:spacing w:before="65" w:line="239" w:lineRule="auto"/>
              <w:ind w:right="1"/>
              <w:jc w:val="left"/>
              <w:rPr>
                <w:rFonts w:hint="eastAsia" w:ascii="宋体" w:hAnsi="宋体" w:eastAsia="宋体" w:cs="宋体"/>
                <w:spacing w:val="-9"/>
                <w:sz w:val="21"/>
                <w:szCs w:val="21"/>
              </w:rPr>
            </w:pPr>
            <w:r>
              <w:rPr>
                <w:rFonts w:hint="eastAsia" w:ascii="宋体" w:hAnsi="宋体" w:eastAsia="宋体" w:cs="宋体"/>
                <w:spacing w:val="-9"/>
                <w:sz w:val="21"/>
                <w:szCs w:val="21"/>
              </w:rPr>
              <w:t>《中华人民共和国消防法》（1998年4月通过，2019年4月修正）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w:t>
            </w:r>
          </w:p>
          <w:p>
            <w:pPr>
              <w:numPr>
                <w:ilvl w:val="0"/>
                <w:numId w:val="2"/>
              </w:numPr>
              <w:spacing w:before="65" w:line="239" w:lineRule="auto"/>
              <w:ind w:left="0" w:leftChars="0" w:right="1" w:rightChars="0" w:firstLine="0" w:firstLineChars="0"/>
              <w:jc w:val="left"/>
              <w:rPr>
                <w:rFonts w:hint="eastAsia" w:ascii="宋体" w:hAnsi="宋体" w:eastAsia="宋体" w:cs="宋体"/>
                <w:spacing w:val="-9"/>
                <w:sz w:val="21"/>
                <w:szCs w:val="21"/>
              </w:rPr>
            </w:pPr>
            <w:r>
              <w:rPr>
                <w:rFonts w:hint="eastAsia" w:ascii="宋体" w:hAnsi="宋体" w:eastAsia="宋体" w:cs="宋体"/>
                <w:spacing w:val="-9"/>
                <w:sz w:val="21"/>
                <w:szCs w:val="21"/>
              </w:rPr>
              <w:t>《建设工程消防设计审查验收管理暂行规定》（住建部令第51号）第十三条：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r>
              <w:rPr>
                <w:rFonts w:hint="eastAsia" w:ascii="宋体" w:hAnsi="宋体" w:eastAsia="宋体" w:cs="宋体"/>
                <w:spacing w:val="-9"/>
                <w:sz w:val="21"/>
                <w:szCs w:val="21"/>
                <w:lang w:eastAsia="zh-CN"/>
              </w:rPr>
              <w:t>。</w:t>
            </w:r>
          </w:p>
          <w:p>
            <w:pPr>
              <w:numPr>
                <w:ilvl w:val="0"/>
                <w:numId w:val="0"/>
              </w:numPr>
              <w:spacing w:before="65" w:line="239" w:lineRule="auto"/>
              <w:ind w:leftChars="0" w:right="1" w:rightChars="0"/>
              <w:jc w:val="left"/>
              <w:rPr>
                <w:rFonts w:ascii="宋体" w:hAnsi="宋体" w:eastAsia="宋体" w:cs="宋体"/>
                <w:sz w:val="21"/>
                <w:szCs w:val="21"/>
              </w:rPr>
            </w:pPr>
            <w:r>
              <w:rPr>
                <w:rFonts w:hint="eastAsia" w:ascii="宋体" w:hAnsi="宋体" w:eastAsia="宋体" w:cs="宋体"/>
                <w:spacing w:val="-9"/>
                <w:sz w:val="21"/>
                <w:szCs w:val="21"/>
              </w:rPr>
              <w:t>3.《建设工程消防监督管理规定》（2012年11月公安部令第119号）第二十一条：“建设单位申请消防验收应当提供下列材料：（五）消防设施检测合格证明文件。</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4"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bl>
      <w:tblPr>
        <w:tblStyle w:val="8"/>
        <w:tblpPr w:leftFromText="180" w:rightFromText="180" w:vertAnchor="text" w:horzAnchor="page" w:tblpX="1049" w:tblpY="75"/>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335"/>
        <w:gridCol w:w="1500"/>
        <w:gridCol w:w="1020"/>
        <w:gridCol w:w="7710"/>
        <w:gridCol w:w="1154"/>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7"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tabs>
                <w:tab w:val="left" w:pos="840"/>
              </w:tabs>
              <w:kinsoku w:val="0"/>
              <w:wordWrap/>
              <w:overflowPunct/>
              <w:topLinePunct w:val="0"/>
              <w:autoSpaceDE w:val="0"/>
              <w:autoSpaceDN w:val="0"/>
              <w:bidi w:val="0"/>
              <w:adjustRightInd w:val="0"/>
              <w:snapToGrid w:val="0"/>
              <w:spacing w:line="239" w:lineRule="auto"/>
              <w:ind w:right="96"/>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55"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824" w:firstLineChars="400"/>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ind w:firstLine="3555" w:firstLineChars="1743"/>
              <w:jc w:val="both"/>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54"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50"/>
              </w:tabs>
              <w:kinsoku w:val="0"/>
              <w:wordWrap/>
              <w:overflowPunct/>
              <w:topLinePunct w:val="0"/>
              <w:autoSpaceDE w:val="0"/>
              <w:autoSpaceDN w:val="0"/>
              <w:bidi w:val="0"/>
              <w:adjustRightInd w:val="0"/>
              <w:snapToGrid w:val="0"/>
              <w:spacing w:line="239" w:lineRule="auto"/>
              <w:ind w:left="18" w:leftChars="0" w:right="90" w:rightChars="0" w:firstLine="172" w:firstLineChars="0"/>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53"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top"/>
          </w:tcPr>
          <w:p>
            <w:pPr>
              <w:rPr>
                <w:rFonts w:ascii="宋体"/>
                <w:sz w:val="21"/>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ind w:firstLine="317"/>
              <w:jc w:val="center"/>
              <w:rPr>
                <w:rFonts w:ascii="黑体" w:hAnsi="黑体" w:eastAsia="黑体" w:cs="黑体"/>
                <w:sz w:val="21"/>
                <w:szCs w:val="21"/>
              </w:rPr>
            </w:pPr>
            <w:r>
              <w:rPr>
                <w:rFonts w:ascii="黑体" w:hAnsi="黑体" w:eastAsia="黑体" w:cs="黑体"/>
                <w:spacing w:val="-4"/>
                <w:sz w:val="21"/>
                <w:szCs w:val="21"/>
              </w:rPr>
              <w:t>主项名称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jc w:val="center"/>
              <w:rPr>
                <w:rFonts w:ascii="黑体" w:hAnsi="黑体" w:eastAsia="黑体" w:cs="黑体"/>
                <w:sz w:val="21"/>
                <w:szCs w:val="21"/>
              </w:rPr>
            </w:pPr>
            <w:r>
              <w:rPr>
                <w:rFonts w:ascii="黑体" w:hAnsi="黑体" w:eastAsia="黑体" w:cs="黑体"/>
                <w:spacing w:val="-3"/>
                <w:sz w:val="21"/>
                <w:szCs w:val="21"/>
              </w:rPr>
              <w:t>子项名称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134" w:line="184" w:lineRule="auto"/>
              <w:jc w:val="center"/>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54"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53"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4739" w:type="dxa"/>
            <w:gridSpan w:val="7"/>
            <w:tcBorders>
              <w:top w:val="single" w:color="000000" w:sz="4" w:space="0"/>
              <w:left w:val="single" w:color="000000" w:sz="12" w:space="0"/>
              <w:bottom w:val="single" w:color="000000" w:sz="4" w:space="0"/>
              <w:right w:val="single" w:color="000000" w:sz="12" w:space="0"/>
            </w:tcBorders>
            <w:vAlign w:val="top"/>
          </w:tcPr>
          <w:p>
            <w:pPr>
              <w:spacing w:before="177" w:line="184" w:lineRule="auto"/>
              <w:ind w:firstLine="531"/>
              <w:rPr>
                <w:rFonts w:ascii="楷体" w:hAnsi="楷体" w:eastAsia="楷体" w:cs="楷体"/>
                <w:sz w:val="21"/>
                <w:szCs w:val="21"/>
              </w:rPr>
            </w:pPr>
            <w:r>
              <w:rPr>
                <w:rFonts w:hint="eastAsia" w:ascii="楷体" w:hAnsi="楷体" w:eastAsia="楷体" w:cs="楷体"/>
                <w:spacing w:val="-1"/>
                <w:sz w:val="21"/>
                <w:szCs w:val="21"/>
                <w:lang w:eastAsia="zh-CN"/>
              </w:rPr>
              <w:t>六</w:t>
            </w:r>
            <w:r>
              <w:rPr>
                <w:rFonts w:ascii="楷体" w:hAnsi="楷体" w:eastAsia="楷体" w:cs="楷体"/>
                <w:spacing w:val="-1"/>
                <w:sz w:val="21"/>
                <w:szCs w:val="21"/>
              </w:rPr>
              <w:t>、</w:t>
            </w:r>
            <w:r>
              <w:rPr>
                <w:rFonts w:hint="eastAsia" w:ascii="楷体" w:hAnsi="楷体" w:eastAsia="楷体" w:cs="楷体"/>
                <w:spacing w:val="-1"/>
                <w:sz w:val="21"/>
                <w:szCs w:val="21"/>
                <w:lang w:eastAsia="zh-CN"/>
              </w:rPr>
              <w:t>峄城区</w:t>
            </w:r>
            <w:r>
              <w:rPr>
                <w:rFonts w:ascii="楷体" w:hAnsi="楷体" w:eastAsia="楷体" w:cs="楷体"/>
                <w:spacing w:val="-1"/>
                <w:sz w:val="21"/>
                <w:szCs w:val="21"/>
              </w:rPr>
              <w:t>行政审批服务局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8" w:hRule="atLeast"/>
        </w:trPr>
        <w:tc>
          <w:tcPr>
            <w:tcW w:w="967"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4"/>
                <w:sz w:val="21"/>
                <w:szCs w:val="21"/>
              </w:rPr>
            </w:pPr>
            <w:r>
              <w:rPr>
                <w:rFonts w:ascii="宋体" w:hAnsi="宋体" w:eastAsia="宋体" w:cs="宋体"/>
                <w:spacing w:val="-4"/>
                <w:sz w:val="21"/>
                <w:szCs w:val="21"/>
              </w:rPr>
              <w:t>验资</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4"/>
                <w:sz w:val="21"/>
                <w:szCs w:val="21"/>
              </w:rPr>
              <w:t>报告</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社会团体成立、变更、注销登记和章程核准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社会团体成立登记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left"/>
              <w:textAlignment w:val="baseline"/>
              <w:rPr>
                <w:rFonts w:ascii="宋体" w:hAnsi="宋体" w:eastAsia="宋体" w:cs="宋体"/>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宋体" w:hAnsi="宋体" w:eastAsia="宋体" w:cs="宋体"/>
                <w:spacing w:val="36"/>
                <w:sz w:val="21"/>
                <w:szCs w:val="21"/>
              </w:rPr>
              <w:t xml:space="preserve"> </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z w:val="21"/>
                <w:szCs w:val="21"/>
              </w:rPr>
              <w:t xml:space="preserve"> </w:t>
            </w:r>
            <w:r>
              <w:rPr>
                <w:rFonts w:ascii="宋体" w:hAnsi="宋体" w:eastAsia="宋体" w:cs="宋体"/>
                <w:spacing w:val="-17"/>
                <w:sz w:val="21"/>
                <w:szCs w:val="21"/>
              </w:rPr>
              <w:t>订）</w:t>
            </w:r>
            <w:r>
              <w:rPr>
                <w:rFonts w:ascii="宋体" w:hAnsi="宋体" w:eastAsia="宋体" w:cs="宋体"/>
                <w:spacing w:val="16"/>
                <w:sz w:val="21"/>
                <w:szCs w:val="21"/>
              </w:rPr>
              <w:t xml:space="preserve"> </w:t>
            </w:r>
            <w:r>
              <w:rPr>
                <w:rFonts w:ascii="宋体" w:hAnsi="宋体" w:eastAsia="宋体" w:cs="宋体"/>
                <w:spacing w:val="-17"/>
                <w:sz w:val="21"/>
                <w:szCs w:val="21"/>
              </w:rPr>
              <w:t>第十一条：</w:t>
            </w:r>
            <w:r>
              <w:rPr>
                <w:rFonts w:ascii="宋体" w:hAnsi="宋体" w:eastAsia="宋体" w:cs="宋体"/>
                <w:spacing w:val="51"/>
                <w:sz w:val="21"/>
                <w:szCs w:val="21"/>
              </w:rPr>
              <w:t xml:space="preserve"> </w:t>
            </w:r>
            <w:r>
              <w:rPr>
                <w:rFonts w:ascii="宋体" w:hAnsi="宋体" w:eastAsia="宋体" w:cs="宋体"/>
                <w:spacing w:val="-17"/>
                <w:sz w:val="21"/>
                <w:szCs w:val="21"/>
              </w:rPr>
              <w:t>申请登记社会团体，发起人应当向登记管理机关提</w:t>
            </w:r>
            <w:r>
              <w:rPr>
                <w:rFonts w:ascii="宋体" w:hAnsi="宋体" w:eastAsia="宋体" w:cs="宋体"/>
                <w:spacing w:val="-2"/>
                <w:sz w:val="21"/>
                <w:szCs w:val="21"/>
              </w:rPr>
              <w:t>交下列文件</w:t>
            </w:r>
            <w:r>
              <w:rPr>
                <w:rFonts w:ascii="宋体" w:hAnsi="宋体" w:eastAsia="宋体" w:cs="宋体"/>
                <w:sz w:val="21"/>
                <w:szCs w:val="21"/>
              </w:rPr>
              <w:t>：（</w:t>
            </w:r>
            <w:r>
              <w:rPr>
                <w:rFonts w:ascii="宋体" w:hAnsi="宋体" w:eastAsia="宋体" w:cs="宋体"/>
                <w:spacing w:val="-2"/>
                <w:sz w:val="21"/>
                <w:szCs w:val="21"/>
              </w:rPr>
              <w:t>三）验资报告、场所使用权证明。</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sz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社会团体变更登记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8"/>
              <w:jc w:val="left"/>
              <w:textAlignment w:val="baseline"/>
              <w:rPr>
                <w:rFonts w:ascii="宋体" w:hAnsi="宋体" w:eastAsia="宋体" w:cs="宋体"/>
                <w:sz w:val="21"/>
                <w:szCs w:val="21"/>
              </w:rPr>
            </w:pPr>
            <w:r>
              <w:rPr>
                <w:rFonts w:ascii="宋体" w:hAnsi="宋体" w:eastAsia="宋体" w:cs="宋体"/>
                <w:spacing w:val="-5"/>
                <w:sz w:val="21"/>
                <w:szCs w:val="21"/>
              </w:rPr>
              <w:t>《</w:t>
            </w:r>
            <w:r>
              <w:rPr>
                <w:rFonts w:ascii="宋体" w:hAnsi="宋体" w:eastAsia="宋体" w:cs="宋体"/>
                <w:spacing w:val="-16"/>
                <w:sz w:val="21"/>
                <w:szCs w:val="21"/>
              </w:rPr>
              <w:t>山东省实施〈社会团体登记管理条例〉办法》（省政府令第 148  号）第二十一条： 社会团体申请变更登记， 应当提交下列文件：（四）变更办公住所的，提交新办公住所产权或者使用权证明；变更业务主管单位的，提交交接双方的协议文件；变更注册资金的， 提交验资报告。社会团体修改章程，应当自业务主管单位审查同意之日起 30日内，报登记管理机关核准。</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6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4"/>
                <w:sz w:val="21"/>
                <w:szCs w:val="21"/>
              </w:rPr>
            </w:pPr>
            <w:r>
              <w:rPr>
                <w:rFonts w:ascii="宋体" w:hAnsi="宋体" w:eastAsia="宋体" w:cs="宋体"/>
                <w:spacing w:val="-4"/>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napToGrid w:val="0"/>
                <w:color w:val="000000"/>
                <w:kern w:val="0"/>
                <w:sz w:val="21"/>
                <w:szCs w:val="21"/>
              </w:rPr>
            </w:pPr>
            <w:r>
              <w:rPr>
                <w:rFonts w:ascii="宋体" w:hAnsi="宋体" w:eastAsia="宋体" w:cs="宋体"/>
                <w:spacing w:val="-4"/>
                <w:sz w:val="21"/>
                <w:szCs w:val="21"/>
              </w:rPr>
              <w:t>审计</w:t>
            </w:r>
          </w:p>
        </w:tc>
        <w:tc>
          <w:tcPr>
            <w:tcW w:w="133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11"/>
                <w:sz w:val="21"/>
                <w:szCs w:val="21"/>
              </w:rPr>
              <w:t>社会团体成立、 变更、注销登记章程核准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社会团体变更登记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napToGrid w:val="0"/>
                <w:color w:val="000000"/>
                <w:kern w:val="0"/>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1" w:leftChars="0" w:right="1" w:rightChars="0" w:hanging="1" w:firstLineChars="0"/>
              <w:jc w:val="left"/>
              <w:textAlignment w:val="baseline"/>
              <w:rPr>
                <w:rFonts w:ascii="宋体" w:hAnsi="宋体" w:eastAsia="宋体" w:cs="宋体"/>
                <w:snapToGrid w:val="0"/>
                <w:color w:val="000000"/>
                <w:kern w:val="0"/>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pacing w:val="-16"/>
                <w:sz w:val="21"/>
                <w:szCs w:val="21"/>
              </w:rPr>
              <w:t>订）</w:t>
            </w:r>
            <w:r>
              <w:rPr>
                <w:rFonts w:ascii="宋体" w:hAnsi="宋体" w:eastAsia="宋体" w:cs="宋体"/>
                <w:sz w:val="21"/>
                <w:szCs w:val="21"/>
              </w:rPr>
              <w:t xml:space="preserve"> </w:t>
            </w:r>
            <w:r>
              <w:rPr>
                <w:rFonts w:ascii="宋体" w:hAnsi="宋体" w:eastAsia="宋体" w:cs="宋体"/>
                <w:spacing w:val="-16"/>
                <w:sz w:val="21"/>
                <w:szCs w:val="21"/>
              </w:rPr>
              <w:t>第二十七条：</w:t>
            </w:r>
            <w:r>
              <w:rPr>
                <w:rFonts w:ascii="宋体" w:hAnsi="宋体" w:eastAsia="宋体" w:cs="宋体"/>
                <w:spacing w:val="37"/>
                <w:sz w:val="21"/>
                <w:szCs w:val="21"/>
              </w:rPr>
              <w:t xml:space="preserve"> </w:t>
            </w:r>
            <w:r>
              <w:rPr>
                <w:rFonts w:ascii="宋体" w:hAnsi="宋体" w:eastAsia="宋体" w:cs="宋体"/>
                <w:spacing w:val="-16"/>
                <w:sz w:val="21"/>
                <w:szCs w:val="21"/>
              </w:rPr>
              <w:t>社会团体在换届或者更换法定代表人之前，登记</w:t>
            </w:r>
            <w:r>
              <w:rPr>
                <w:rFonts w:ascii="宋体" w:hAnsi="宋体" w:eastAsia="宋体" w:cs="宋体"/>
                <w:spacing w:val="-2"/>
                <w:sz w:val="21"/>
                <w:szCs w:val="21"/>
              </w:rPr>
              <w:t>管理机关、业务主管单位应当组织对其进行财务审计。</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96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4"/>
                <w:sz w:val="21"/>
                <w:szCs w:val="21"/>
              </w:rPr>
            </w:pPr>
            <w:r>
              <w:rPr>
                <w:rFonts w:ascii="宋体" w:hAnsi="宋体" w:eastAsia="宋体" w:cs="宋体"/>
                <w:spacing w:val="-4"/>
                <w:sz w:val="21"/>
                <w:szCs w:val="21"/>
              </w:rPr>
              <w:t>清算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napToGrid w:val="0"/>
                <w:color w:val="000000"/>
                <w:kern w:val="0"/>
                <w:sz w:val="21"/>
                <w:szCs w:val="21"/>
              </w:rPr>
            </w:pPr>
            <w:r>
              <w:rPr>
                <w:rFonts w:ascii="宋体" w:hAnsi="宋体" w:eastAsia="宋体" w:cs="宋体"/>
                <w:spacing w:val="-4"/>
                <w:sz w:val="21"/>
                <w:szCs w:val="21"/>
              </w:rPr>
              <w:t>审计</w:t>
            </w:r>
          </w:p>
        </w:tc>
        <w:tc>
          <w:tcPr>
            <w:tcW w:w="133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社会团体成立、 变更、注销登记和章程核准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社会团体注销登记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napToGrid w:val="0"/>
                <w:color w:val="000000"/>
                <w:kern w:val="0"/>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1" w:leftChars="0" w:right="2" w:rightChars="0" w:hanging="1" w:firstLineChars="0"/>
              <w:jc w:val="both"/>
              <w:textAlignment w:val="baseline"/>
              <w:rPr>
                <w:rFonts w:ascii="宋体" w:hAnsi="宋体" w:eastAsia="宋体" w:cs="宋体"/>
                <w:snapToGrid w:val="0"/>
                <w:color w:val="000000"/>
                <w:kern w:val="0"/>
                <w:sz w:val="21"/>
                <w:szCs w:val="21"/>
              </w:rPr>
            </w:pPr>
            <w:r>
              <w:rPr>
                <w:rFonts w:ascii="宋体" w:hAnsi="宋体" w:eastAsia="宋体" w:cs="宋体"/>
                <w:spacing w:val="-7"/>
                <w:sz w:val="21"/>
                <w:szCs w:val="21"/>
              </w:rPr>
              <w:t>《社会团体登记管理条例》（国务院令第</w:t>
            </w:r>
            <w:r>
              <w:rPr>
                <w:rFonts w:ascii="宋体" w:hAnsi="宋体" w:eastAsia="宋体" w:cs="宋体"/>
                <w:spacing w:val="-12"/>
                <w:sz w:val="21"/>
                <w:szCs w:val="21"/>
              </w:rPr>
              <w:t xml:space="preserve"> </w:t>
            </w:r>
            <w:r>
              <w:rPr>
                <w:rFonts w:ascii="Times New Roman" w:hAnsi="Times New Roman" w:eastAsia="Times New Roman" w:cs="Times New Roman"/>
                <w:spacing w:val="-7"/>
                <w:sz w:val="21"/>
                <w:szCs w:val="21"/>
              </w:rPr>
              <w:t>250</w:t>
            </w:r>
            <w:r>
              <w:rPr>
                <w:rFonts w:ascii="Times New Roman" w:hAnsi="Times New Roman" w:eastAsia="Times New Roman" w:cs="Times New Roman"/>
                <w:spacing w:val="3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2016</w:t>
            </w:r>
            <w:r>
              <w:rPr>
                <w:rFonts w:ascii="Times New Roman" w:hAnsi="Times New Roman" w:eastAsia="Times New Roman" w:cs="Times New Roman"/>
                <w:spacing w:val="28"/>
                <w:sz w:val="21"/>
                <w:szCs w:val="21"/>
              </w:rPr>
              <w:t xml:space="preserve"> </w:t>
            </w:r>
            <w:r>
              <w:rPr>
                <w:rFonts w:ascii="宋体" w:hAnsi="宋体" w:eastAsia="宋体" w:cs="宋体"/>
                <w:spacing w:val="-7"/>
                <w:sz w:val="21"/>
                <w:szCs w:val="21"/>
              </w:rPr>
              <w:t>年</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37"/>
                <w:sz w:val="21"/>
                <w:szCs w:val="21"/>
              </w:rPr>
              <w:t xml:space="preserve"> </w:t>
            </w:r>
            <w:r>
              <w:rPr>
                <w:rFonts w:ascii="宋体" w:hAnsi="宋体" w:eastAsia="宋体" w:cs="宋体"/>
                <w:spacing w:val="-7"/>
                <w:sz w:val="21"/>
                <w:szCs w:val="21"/>
              </w:rPr>
              <w:t>月修</w:t>
            </w:r>
            <w:r>
              <w:rPr>
                <w:rFonts w:ascii="宋体" w:hAnsi="宋体" w:eastAsia="宋体" w:cs="宋体"/>
                <w:spacing w:val="-3"/>
                <w:sz w:val="21"/>
                <w:szCs w:val="21"/>
              </w:rPr>
              <w:t>订）第二十一条：社会体应当自清算结束之日起</w:t>
            </w:r>
            <w:r>
              <w:rPr>
                <w:rFonts w:ascii="宋体" w:hAnsi="宋体" w:eastAsia="宋体" w:cs="宋体"/>
                <w:spacing w:val="-2"/>
                <w:sz w:val="21"/>
                <w:szCs w:val="21"/>
              </w:rPr>
              <w:t xml:space="preserve"> </w:t>
            </w:r>
            <w:r>
              <w:rPr>
                <w:rFonts w:ascii="Times New Roman" w:hAnsi="Times New Roman" w:eastAsia="Times New Roman" w:cs="Times New Roman"/>
                <w:spacing w:val="-3"/>
                <w:sz w:val="21"/>
                <w:szCs w:val="21"/>
              </w:rPr>
              <w:t>15</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日内向登记</w:t>
            </w:r>
            <w:r>
              <w:rPr>
                <w:rFonts w:ascii="宋体" w:hAnsi="宋体" w:eastAsia="宋体" w:cs="宋体"/>
                <w:spacing w:val="-8"/>
                <w:sz w:val="21"/>
                <w:szCs w:val="21"/>
              </w:rPr>
              <w:t>管理机关办理注销登记。办理注销登记，应当提交法定代表人签署</w:t>
            </w:r>
            <w:r>
              <w:rPr>
                <w:rFonts w:ascii="宋体" w:hAnsi="宋体" w:eastAsia="宋体" w:cs="宋体"/>
                <w:spacing w:val="-2"/>
                <w:sz w:val="21"/>
                <w:szCs w:val="21"/>
              </w:rPr>
              <w:t>的注销登记申请书、业务主管单位的审查文件和清算报告书。</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napToGrid w:val="0"/>
                <w:color w:val="000000"/>
                <w:kern w:val="0"/>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67"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4"/>
                <w:sz w:val="21"/>
                <w:szCs w:val="21"/>
              </w:rPr>
            </w:pPr>
            <w:r>
              <w:rPr>
                <w:rFonts w:ascii="宋体" w:hAnsi="宋体" w:eastAsia="宋体" w:cs="宋体"/>
                <w:spacing w:val="-4"/>
                <w:sz w:val="21"/>
                <w:szCs w:val="21"/>
              </w:rPr>
              <w:t>验资</w:t>
            </w:r>
          </w:p>
          <w:p>
            <w:pPr>
              <w:numPr>
                <w:ilvl w:val="0"/>
                <w:numId w:val="0"/>
              </w:numPr>
              <w:spacing w:before="68" w:line="184" w:lineRule="auto"/>
              <w:ind w:leftChars="0"/>
              <w:jc w:val="center"/>
              <w:rPr>
                <w:rFonts w:ascii="Times New Roman" w:hAnsi="Times New Roman" w:eastAsia="Times New Roman" w:cs="Times New Roman"/>
                <w:spacing w:val="-4"/>
                <w:sz w:val="21"/>
                <w:szCs w:val="21"/>
              </w:rPr>
            </w:pPr>
            <w:r>
              <w:rPr>
                <w:rFonts w:ascii="宋体" w:hAnsi="宋体" w:eastAsia="宋体" w:cs="宋体"/>
                <w:spacing w:val="-4"/>
                <w:sz w:val="21"/>
                <w:szCs w:val="21"/>
              </w:rPr>
              <w:t>报告</w:t>
            </w:r>
          </w:p>
        </w:tc>
        <w:tc>
          <w:tcPr>
            <w:tcW w:w="1335"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0"/>
                <w:sz w:val="21"/>
                <w:szCs w:val="21"/>
              </w:rPr>
            </w:pPr>
            <w:r>
              <w:rPr>
                <w:rFonts w:ascii="宋体" w:hAnsi="宋体" w:eastAsia="宋体" w:cs="宋体"/>
                <w:spacing w:val="0"/>
                <w:sz w:val="21"/>
                <w:szCs w:val="21"/>
              </w:rPr>
              <w:t>民办非企业单  位成立、变更、 注销登记和章程核准</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民办非企业单位成立登记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350" w:lineRule="auto"/>
              <w:jc w:val="center"/>
              <w:rPr>
                <w:rFonts w:ascii="宋体"/>
                <w:sz w:val="21"/>
              </w:rPr>
            </w:pPr>
          </w:p>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leftChars="0" w:right="2" w:rightChars="0"/>
              <w:textAlignment w:val="baseline"/>
              <w:rPr>
                <w:rFonts w:ascii="宋体" w:hAnsi="宋体" w:eastAsia="宋体" w:cs="宋体"/>
                <w:spacing w:val="-7"/>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第九</w:t>
            </w:r>
            <w:r>
              <w:rPr>
                <w:rFonts w:ascii="宋体" w:hAnsi="宋体" w:eastAsia="宋体" w:cs="宋体"/>
                <w:spacing w:val="-13"/>
                <w:sz w:val="21"/>
                <w:szCs w:val="21"/>
              </w:rPr>
              <w:t>条：申请民办非企业单位登记，举办者应当向登记管理机关提交下</w:t>
            </w:r>
            <w:r>
              <w:rPr>
                <w:rFonts w:ascii="宋体" w:hAnsi="宋体" w:eastAsia="宋体" w:cs="宋体"/>
                <w:spacing w:val="-3"/>
                <w:sz w:val="21"/>
                <w:szCs w:val="21"/>
              </w:rPr>
              <w:t>列文件</w:t>
            </w:r>
            <w:r>
              <w:rPr>
                <w:rFonts w:ascii="宋体" w:hAnsi="宋体" w:eastAsia="宋体" w:cs="宋体"/>
                <w:spacing w:val="-4"/>
                <w:sz w:val="21"/>
                <w:szCs w:val="21"/>
              </w:rPr>
              <w:t>：</w:t>
            </w:r>
            <w:r>
              <w:rPr>
                <w:rFonts w:hint="eastAsia" w:ascii="宋体" w:hAnsi="宋体" w:eastAsia="宋体" w:cs="宋体"/>
                <w:spacing w:val="-4"/>
                <w:sz w:val="21"/>
                <w:szCs w:val="21"/>
                <w:lang w:eastAsia="zh-CN"/>
              </w:rPr>
              <w:t>（</w:t>
            </w:r>
            <w:r>
              <w:rPr>
                <w:rFonts w:ascii="宋体" w:hAnsi="宋体" w:eastAsia="宋体" w:cs="宋体"/>
                <w:spacing w:val="-3"/>
                <w:sz w:val="21"/>
                <w:szCs w:val="21"/>
              </w:rPr>
              <w:t>四）验资报告。</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967" w:type="dxa"/>
            <w:vMerge w:val="continue"/>
            <w:tcBorders>
              <w:top w:val="single" w:color="000000" w:sz="4" w:space="0"/>
              <w:left w:val="single" w:color="000000" w:sz="12" w:space="0"/>
              <w:bottom w:val="single" w:color="000000" w:sz="4" w:space="0"/>
              <w:right w:val="single" w:color="000000" w:sz="4" w:space="0"/>
            </w:tcBorders>
            <w:vAlign w:val="top"/>
          </w:tcPr>
          <w:p>
            <w:pPr>
              <w:rPr>
                <w:rFonts w:ascii="Times New Roman" w:hAnsi="Times New Roman" w:eastAsia="Times New Roman" w:cs="Times New Roman"/>
                <w:spacing w:val="-4"/>
                <w:sz w:val="21"/>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tc>
        <w:tc>
          <w:tcPr>
            <w:tcW w:w="150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left="20" w:right="1" w:hanging="1"/>
              <w:jc w:val="center"/>
              <w:textAlignment w:val="baseline"/>
              <w:rPr>
                <w:rFonts w:ascii="宋体" w:hAnsi="宋体" w:eastAsia="宋体" w:cs="宋体"/>
                <w:spacing w:val="-17"/>
                <w:sz w:val="21"/>
                <w:szCs w:val="21"/>
              </w:rPr>
            </w:pPr>
            <w:r>
              <w:rPr>
                <w:rFonts w:ascii="宋体" w:hAnsi="宋体" w:eastAsia="宋体" w:cs="宋体"/>
                <w:spacing w:val="-17"/>
                <w:sz w:val="21"/>
                <w:szCs w:val="21"/>
              </w:rPr>
              <w:t>民办非企业单位成立登记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line="271" w:lineRule="auto"/>
              <w:jc w:val="center"/>
              <w:rPr>
                <w:rFonts w:ascii="宋体"/>
                <w:sz w:val="21"/>
              </w:rPr>
            </w:pPr>
          </w:p>
          <w:p>
            <w:pPr>
              <w:spacing w:line="271" w:lineRule="auto"/>
              <w:jc w:val="center"/>
              <w:rPr>
                <w:rFonts w:ascii="宋体"/>
                <w:sz w:val="21"/>
              </w:rPr>
            </w:pPr>
          </w:p>
          <w:p>
            <w:pPr>
              <w:spacing w:line="271" w:lineRule="auto"/>
              <w:jc w:val="center"/>
              <w:rPr>
                <w:rFonts w:ascii="宋体"/>
                <w:sz w:val="21"/>
              </w:rPr>
            </w:pPr>
          </w:p>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left="19" w:leftChars="0"/>
              <w:textAlignment w:val="baseline"/>
              <w:rPr>
                <w:rFonts w:ascii="宋体" w:hAnsi="宋体" w:eastAsia="宋体" w:cs="宋体"/>
                <w:spacing w:val="-7"/>
                <w:sz w:val="21"/>
                <w:szCs w:val="21"/>
              </w:rPr>
            </w:pPr>
            <w:r>
              <w:rPr>
                <w:rFonts w:ascii="宋体" w:hAnsi="宋体" w:eastAsia="宋体" w:cs="宋体"/>
                <w:spacing w:val="-10"/>
                <w:sz w:val="21"/>
                <w:szCs w:val="21"/>
              </w:rPr>
              <w:t>《民办非企业单位登记暂行办法》（</w:t>
            </w:r>
            <w:r>
              <w:rPr>
                <w:rFonts w:ascii="宋体" w:hAnsi="宋体" w:eastAsia="宋体" w:cs="宋体"/>
                <w:spacing w:val="-45"/>
                <w:sz w:val="21"/>
                <w:szCs w:val="21"/>
              </w:rPr>
              <w:t xml:space="preserve"> </w:t>
            </w:r>
            <w:r>
              <w:rPr>
                <w:rFonts w:ascii="Times New Roman" w:hAnsi="Times New Roman" w:eastAsia="Times New Roman" w:cs="Times New Roman"/>
                <w:spacing w:val="-10"/>
                <w:sz w:val="21"/>
                <w:szCs w:val="21"/>
              </w:rPr>
              <w:t>1999</w:t>
            </w:r>
            <w:r>
              <w:rPr>
                <w:rFonts w:ascii="Times New Roman" w:hAnsi="Times New Roman" w:eastAsia="Times New Roman" w:cs="Times New Roman"/>
                <w:spacing w:val="9"/>
                <w:w w:val="101"/>
                <w:sz w:val="21"/>
                <w:szCs w:val="21"/>
              </w:rPr>
              <w:t xml:space="preserve"> </w:t>
            </w:r>
            <w:r>
              <w:rPr>
                <w:rFonts w:ascii="宋体" w:hAnsi="宋体" w:eastAsia="宋体" w:cs="宋体"/>
                <w:spacing w:val="-10"/>
                <w:sz w:val="21"/>
                <w:szCs w:val="21"/>
              </w:rPr>
              <w:t>年民政部令第</w:t>
            </w:r>
            <w:r>
              <w:rPr>
                <w:rFonts w:ascii="宋体" w:hAnsi="宋体" w:eastAsia="宋体" w:cs="宋体"/>
                <w:spacing w:val="-29"/>
                <w:sz w:val="21"/>
                <w:szCs w:val="21"/>
              </w:rPr>
              <w:t xml:space="preserve"> </w:t>
            </w:r>
            <w:r>
              <w:rPr>
                <w:rFonts w:ascii="Times New Roman" w:hAnsi="Times New Roman" w:eastAsia="Times New Roman" w:cs="Times New Roman"/>
                <w:spacing w:val="-10"/>
                <w:sz w:val="21"/>
                <w:szCs w:val="21"/>
              </w:rPr>
              <w:t>18</w:t>
            </w:r>
            <w:r>
              <w:rPr>
                <w:rFonts w:ascii="Times New Roman" w:hAnsi="Times New Roman" w:eastAsia="Times New Roman" w:cs="Times New Roman"/>
                <w:spacing w:val="12"/>
                <w:w w:val="101"/>
                <w:sz w:val="21"/>
                <w:szCs w:val="21"/>
              </w:rPr>
              <w:t xml:space="preserve"> </w:t>
            </w:r>
            <w:r>
              <w:rPr>
                <w:rFonts w:ascii="宋体" w:hAnsi="宋体" w:eastAsia="宋体" w:cs="宋体"/>
                <w:spacing w:val="-10"/>
                <w:sz w:val="21"/>
                <w:szCs w:val="21"/>
              </w:rPr>
              <w:t>号）第</w:t>
            </w:r>
            <w:r>
              <w:rPr>
                <w:rFonts w:ascii="宋体" w:hAnsi="宋体" w:eastAsia="宋体" w:cs="宋体"/>
                <w:spacing w:val="-11"/>
                <w:sz w:val="21"/>
                <w:szCs w:val="21"/>
              </w:rPr>
              <w:t>十二条：民办非企业单位的住所、业务范围、法定代表人或单位负</w:t>
            </w:r>
            <w:r>
              <w:rPr>
                <w:rFonts w:ascii="宋体" w:hAnsi="宋体" w:eastAsia="宋体" w:cs="宋体"/>
                <w:sz w:val="21"/>
                <w:szCs w:val="21"/>
              </w:rPr>
              <w:t xml:space="preserve"> </w:t>
            </w:r>
            <w:r>
              <w:rPr>
                <w:rFonts w:ascii="宋体" w:hAnsi="宋体" w:eastAsia="宋体" w:cs="宋体"/>
                <w:spacing w:val="-11"/>
                <w:sz w:val="21"/>
                <w:szCs w:val="21"/>
              </w:rPr>
              <w:t>责人、开办资金、业务主管单位发生变更的，除向登记管理机关提</w:t>
            </w:r>
            <w:r>
              <w:rPr>
                <w:rFonts w:ascii="宋体" w:hAnsi="宋体" w:eastAsia="宋体" w:cs="宋体"/>
                <w:sz w:val="21"/>
                <w:szCs w:val="21"/>
              </w:rPr>
              <w:t xml:space="preserve"> </w:t>
            </w:r>
            <w:r>
              <w:rPr>
                <w:rFonts w:ascii="宋体" w:hAnsi="宋体" w:eastAsia="宋体" w:cs="宋体"/>
                <w:spacing w:val="-14"/>
                <w:sz w:val="21"/>
                <w:szCs w:val="21"/>
              </w:rPr>
              <w:t>交本办法第十一条规定的文件外，还须分别提交下列材料：变更后新住所的产权或使用权证明；变更后的业务范围；变更后法定代表</w:t>
            </w:r>
            <w:r>
              <w:rPr>
                <w:rFonts w:ascii="宋体" w:hAnsi="宋体" w:eastAsia="宋体" w:cs="宋体"/>
                <w:spacing w:val="-9"/>
                <w:sz w:val="21"/>
                <w:szCs w:val="21"/>
              </w:rPr>
              <w:t>人或单位负责人的身份证明，及本办法第六条第六款涉及的其他材</w:t>
            </w:r>
            <w:r>
              <w:rPr>
                <w:rFonts w:ascii="宋体" w:hAnsi="宋体" w:eastAsia="宋体" w:cs="宋体"/>
                <w:spacing w:val="-15"/>
                <w:sz w:val="21"/>
                <w:szCs w:val="21"/>
              </w:rPr>
              <w:t>料；变更后的验资报告；原业务主管单位不再承担业务主管的文件。</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967" w:type="dxa"/>
            <w:vMerge w:val="continue"/>
            <w:tcBorders>
              <w:top w:val="single" w:color="000000" w:sz="4" w:space="0"/>
              <w:left w:val="single" w:color="000000" w:sz="12" w:space="0"/>
              <w:bottom w:val="single" w:color="000000" w:sz="12" w:space="0"/>
              <w:right w:val="single" w:color="000000" w:sz="4" w:space="0"/>
            </w:tcBorders>
            <w:vAlign w:val="top"/>
          </w:tcPr>
          <w:p>
            <w:pPr>
              <w:rPr>
                <w:rFonts w:ascii="Times New Roman" w:hAnsi="Times New Roman" w:eastAsia="Times New Roman" w:cs="Times New Roman"/>
                <w:spacing w:val="-4"/>
                <w:sz w:val="21"/>
                <w:szCs w:val="21"/>
              </w:rPr>
            </w:pPr>
          </w:p>
        </w:tc>
        <w:tc>
          <w:tcPr>
            <w:tcW w:w="1335" w:type="dxa"/>
            <w:vMerge w:val="continue"/>
            <w:tcBorders>
              <w:top w:val="single" w:color="000000" w:sz="4" w:space="0"/>
              <w:left w:val="single" w:color="000000" w:sz="4" w:space="0"/>
              <w:bottom w:val="single" w:color="000000" w:sz="12" w:space="0"/>
              <w:right w:val="single" w:color="000000" w:sz="4" w:space="0"/>
            </w:tcBorders>
            <w:vAlign w:val="top"/>
          </w:tcPr>
          <w:p>
            <w:pPr>
              <w:rPr>
                <w:rFonts w:ascii="宋体" w:hAnsi="宋体" w:eastAsia="宋体" w:cs="宋体"/>
                <w:spacing w:val="-11"/>
                <w:sz w:val="21"/>
                <w:szCs w:val="21"/>
              </w:rPr>
            </w:pPr>
          </w:p>
        </w:tc>
        <w:tc>
          <w:tcPr>
            <w:tcW w:w="1500"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51" w:rightChars="0"/>
              <w:jc w:val="center"/>
              <w:textAlignment w:val="baseline"/>
              <w:rPr>
                <w:rFonts w:ascii="宋体" w:hAnsi="宋体" w:eastAsia="宋体" w:cs="宋体"/>
                <w:spacing w:val="-2"/>
                <w:sz w:val="21"/>
                <w:szCs w:val="21"/>
              </w:rPr>
            </w:pPr>
            <w:r>
              <w:rPr>
                <w:rFonts w:ascii="宋体" w:hAnsi="宋体" w:eastAsia="宋体" w:cs="宋体"/>
                <w:spacing w:val="-4"/>
                <w:sz w:val="21"/>
                <w:szCs w:val="21"/>
              </w:rPr>
              <w:t>民办非企业单位变更登记</w:t>
            </w:r>
          </w:p>
        </w:tc>
        <w:tc>
          <w:tcPr>
            <w:tcW w:w="1020" w:type="dxa"/>
            <w:tcBorders>
              <w:top w:val="single" w:color="000000" w:sz="4" w:space="0"/>
              <w:left w:val="single" w:color="000000" w:sz="4" w:space="0"/>
              <w:bottom w:val="single" w:color="000000" w:sz="12" w:space="0"/>
              <w:right w:val="single" w:color="000000" w:sz="4" w:space="0"/>
            </w:tcBorders>
            <w:vAlign w:val="center"/>
          </w:tcPr>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12"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3" w:leftChars="0" w:right="0" w:rightChars="0"/>
              <w:textAlignment w:val="baseline"/>
              <w:rPr>
                <w:rFonts w:ascii="宋体" w:hAnsi="宋体" w:eastAsia="宋体" w:cs="宋体"/>
                <w:spacing w:val="-7"/>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号）第二</w:t>
            </w:r>
            <w:r>
              <w:rPr>
                <w:rFonts w:ascii="宋体" w:hAnsi="宋体" w:eastAsia="宋体" w:cs="宋体"/>
                <w:spacing w:val="-12"/>
                <w:sz w:val="21"/>
                <w:szCs w:val="21"/>
              </w:rPr>
              <w:t>十二条：民办非企业单位变更法定代表人或者负责人，登记管理机</w:t>
            </w:r>
            <w:r>
              <w:rPr>
                <w:rFonts w:ascii="宋体" w:hAnsi="宋体" w:eastAsia="宋体" w:cs="宋体"/>
                <w:spacing w:val="-2"/>
                <w:sz w:val="21"/>
                <w:szCs w:val="21"/>
              </w:rPr>
              <w:t>关、业务主管单位应当组织对其进行财务审计。</w:t>
            </w:r>
          </w:p>
        </w:tc>
        <w:tc>
          <w:tcPr>
            <w:tcW w:w="1154"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53" w:type="dxa"/>
            <w:tcBorders>
              <w:top w:val="single" w:color="000000" w:sz="4" w:space="0"/>
              <w:left w:val="single" w:color="000000" w:sz="4" w:space="0"/>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tbl>
      <w:tblPr>
        <w:tblStyle w:val="8"/>
        <w:tblpPr w:leftFromText="180" w:rightFromText="180" w:vertAnchor="text" w:horzAnchor="page" w:tblpX="1056" w:tblpY="87"/>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0"/>
        <w:gridCol w:w="1485"/>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58"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15"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离任</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48" w:line="239" w:lineRule="auto"/>
              <w:ind w:left="6" w:right="21" w:firstLine="111"/>
              <w:jc w:val="center"/>
              <w:rPr>
                <w:rFonts w:ascii="宋体" w:hAnsi="宋体" w:eastAsia="宋体" w:cs="宋体"/>
                <w:sz w:val="21"/>
                <w:szCs w:val="21"/>
              </w:rPr>
            </w:pPr>
            <w:r>
              <w:rPr>
                <w:rFonts w:ascii="宋体" w:hAnsi="宋体" w:eastAsia="宋体" w:cs="宋体"/>
                <w:spacing w:val="-5"/>
                <w:sz w:val="21"/>
                <w:szCs w:val="21"/>
              </w:rPr>
              <w:t>民办非企业单</w:t>
            </w:r>
            <w:r>
              <w:rPr>
                <w:rFonts w:ascii="宋体" w:hAnsi="宋体" w:eastAsia="宋体" w:cs="宋体"/>
                <w:sz w:val="21"/>
                <w:szCs w:val="21"/>
              </w:rPr>
              <w:t xml:space="preserve">  </w:t>
            </w:r>
            <w:r>
              <w:rPr>
                <w:rFonts w:ascii="宋体" w:hAnsi="宋体" w:eastAsia="宋体" w:cs="宋体"/>
                <w:spacing w:val="-6"/>
                <w:sz w:val="21"/>
                <w:szCs w:val="21"/>
              </w:rPr>
              <w:t>位成立、变更、</w:t>
            </w:r>
            <w:r>
              <w:rPr>
                <w:rFonts w:ascii="宋体" w:hAnsi="宋体" w:eastAsia="宋体" w:cs="宋体"/>
                <w:spacing w:val="-2"/>
                <w:sz w:val="21"/>
                <w:szCs w:val="21"/>
              </w:rPr>
              <w:t>注销登记和章程核准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49"/>
              <w:jc w:val="center"/>
              <w:textAlignment w:val="baseline"/>
              <w:rPr>
                <w:rFonts w:ascii="宋体" w:hAnsi="宋体" w:eastAsia="宋体" w:cs="宋体"/>
                <w:sz w:val="21"/>
                <w:szCs w:val="21"/>
              </w:rPr>
            </w:pPr>
            <w:r>
              <w:rPr>
                <w:rFonts w:ascii="宋体" w:hAnsi="宋体" w:eastAsia="宋体" w:cs="宋体"/>
                <w:spacing w:val="-4"/>
                <w:sz w:val="21"/>
                <w:szCs w:val="21"/>
              </w:rPr>
              <w:t>民办非企业单位变更登记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spacing w:before="184" w:line="239" w:lineRule="auto"/>
              <w:ind w:left="20" w:right="2"/>
              <w:rPr>
                <w:rFonts w:ascii="宋体" w:hAnsi="宋体" w:eastAsia="宋体" w:cs="宋体"/>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第二</w:t>
            </w:r>
            <w:r>
              <w:rPr>
                <w:rFonts w:ascii="宋体" w:hAnsi="宋体" w:eastAsia="宋体" w:cs="宋体"/>
                <w:spacing w:val="-12"/>
                <w:sz w:val="21"/>
                <w:szCs w:val="21"/>
              </w:rPr>
              <w:t>十二条：民办非企业单位变更法定代表人或者负责人，登记管理机</w:t>
            </w:r>
            <w:r>
              <w:rPr>
                <w:rFonts w:ascii="宋体" w:hAnsi="宋体" w:eastAsia="宋体" w:cs="宋体"/>
                <w:spacing w:val="-2"/>
                <w:sz w:val="21"/>
                <w:szCs w:val="21"/>
              </w:rPr>
              <w:t>关、业务主管单位应当组织对其进行财务审计。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numPr>
                <w:ilvl w:val="0"/>
                <w:numId w:val="3"/>
              </w:numPr>
              <w:spacing w:before="68" w:line="184" w:lineRule="auto"/>
              <w:ind w:left="0" w:lef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清算</w:t>
            </w:r>
          </w:p>
          <w:p>
            <w:pPr>
              <w:numPr>
                <w:ilvl w:val="0"/>
                <w:numId w:val="0"/>
              </w:numPr>
              <w:spacing w:before="68" w:line="184" w:lineRule="auto"/>
              <w:ind w:leftChars="0"/>
              <w:jc w:val="center"/>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249" w:line="221" w:lineRule="auto"/>
              <w:ind w:left="6" w:right="21" w:firstLine="111"/>
              <w:jc w:val="center"/>
              <w:rPr>
                <w:rFonts w:ascii="宋体" w:hAnsi="宋体" w:eastAsia="宋体" w:cs="宋体"/>
                <w:sz w:val="21"/>
                <w:szCs w:val="21"/>
              </w:rPr>
            </w:pPr>
            <w:r>
              <w:rPr>
                <w:rFonts w:ascii="宋体" w:hAnsi="宋体" w:eastAsia="宋体" w:cs="宋体"/>
                <w:spacing w:val="-5"/>
                <w:sz w:val="21"/>
                <w:szCs w:val="21"/>
              </w:rPr>
              <w:t>民办非企业单</w:t>
            </w:r>
            <w:r>
              <w:rPr>
                <w:rFonts w:ascii="宋体" w:hAnsi="宋体" w:eastAsia="宋体" w:cs="宋体"/>
                <w:sz w:val="21"/>
                <w:szCs w:val="21"/>
              </w:rPr>
              <w:t xml:space="preserve">  </w:t>
            </w:r>
            <w:r>
              <w:rPr>
                <w:rFonts w:ascii="宋体" w:hAnsi="宋体" w:eastAsia="宋体" w:cs="宋体"/>
                <w:spacing w:val="-6"/>
                <w:sz w:val="21"/>
                <w:szCs w:val="21"/>
              </w:rPr>
              <w:t>位成立、变更、</w:t>
            </w:r>
            <w:r>
              <w:rPr>
                <w:rFonts w:ascii="宋体" w:hAnsi="宋体" w:eastAsia="宋体" w:cs="宋体"/>
                <w:spacing w:val="-2"/>
                <w:sz w:val="21"/>
                <w:szCs w:val="21"/>
              </w:rPr>
              <w:t>注销登记和章程核准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49"/>
              <w:jc w:val="center"/>
              <w:textAlignment w:val="baseline"/>
              <w:rPr>
                <w:rFonts w:ascii="宋体" w:hAnsi="宋体" w:eastAsia="宋体" w:cs="宋体"/>
                <w:sz w:val="21"/>
                <w:szCs w:val="21"/>
              </w:rPr>
            </w:pPr>
            <w:r>
              <w:rPr>
                <w:rFonts w:ascii="宋体" w:hAnsi="宋体" w:eastAsia="宋体" w:cs="宋体"/>
                <w:spacing w:val="-4"/>
                <w:sz w:val="21"/>
                <w:szCs w:val="21"/>
              </w:rPr>
              <w:t>民办非企业单位注销登记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7" w:right="0" w:firstLine="6"/>
              <w:jc w:val="both"/>
              <w:textAlignment w:val="baseline"/>
              <w:rPr>
                <w:rFonts w:ascii="宋体" w:hAnsi="宋体" w:eastAsia="宋体" w:cs="宋体"/>
                <w:sz w:val="21"/>
                <w:szCs w:val="21"/>
              </w:rPr>
            </w:pPr>
            <w:r>
              <w:rPr>
                <w:rFonts w:ascii="宋体" w:hAnsi="宋体" w:eastAsia="宋体" w:cs="宋体"/>
                <w:spacing w:val="-7"/>
                <w:sz w:val="21"/>
                <w:szCs w:val="21"/>
              </w:rPr>
              <w:t>《民办非企业单位登记管理暂行条例》（国务院令第</w:t>
            </w:r>
            <w:r>
              <w:rPr>
                <w:rFonts w:ascii="宋体" w:hAnsi="宋体" w:eastAsia="宋体" w:cs="宋体"/>
                <w:spacing w:val="-24"/>
                <w:sz w:val="21"/>
                <w:szCs w:val="21"/>
              </w:rPr>
              <w:t xml:space="preserve"> </w:t>
            </w:r>
            <w:r>
              <w:rPr>
                <w:rFonts w:ascii="Times New Roman" w:hAnsi="Times New Roman" w:eastAsia="Times New Roman" w:cs="Times New Roman"/>
                <w:spacing w:val="-7"/>
                <w:sz w:val="21"/>
                <w:szCs w:val="21"/>
              </w:rPr>
              <w:t>251</w:t>
            </w:r>
            <w:r>
              <w:rPr>
                <w:rFonts w:ascii="Times New Roman" w:hAnsi="Times New Roman" w:eastAsia="Times New Roman" w:cs="Times New Roman"/>
                <w:spacing w:val="14"/>
                <w:sz w:val="21"/>
                <w:szCs w:val="21"/>
              </w:rPr>
              <w:t xml:space="preserve"> </w:t>
            </w:r>
            <w:r>
              <w:rPr>
                <w:rFonts w:ascii="宋体" w:hAnsi="宋体" w:eastAsia="宋体" w:cs="宋体"/>
                <w:spacing w:val="-7"/>
                <w:sz w:val="21"/>
                <w:szCs w:val="21"/>
              </w:rPr>
              <w:t>号）</w:t>
            </w:r>
            <w:r>
              <w:rPr>
                <w:rFonts w:ascii="宋体" w:hAnsi="宋体" w:eastAsia="宋体" w:cs="宋体"/>
                <w:spacing w:val="-13"/>
                <w:sz w:val="21"/>
                <w:szCs w:val="21"/>
              </w:rPr>
              <w:t xml:space="preserve"> </w:t>
            </w:r>
            <w:r>
              <w:rPr>
                <w:rFonts w:ascii="宋体" w:hAnsi="宋体" w:eastAsia="宋体" w:cs="宋体"/>
                <w:spacing w:val="-7"/>
                <w:sz w:val="21"/>
                <w:szCs w:val="21"/>
              </w:rPr>
              <w:t>第十七条：民办非企业单位法定代表人或者负责人应当自完成清算之日</w:t>
            </w:r>
            <w:r>
              <w:rPr>
                <w:rFonts w:ascii="宋体" w:hAnsi="宋体" w:eastAsia="宋体" w:cs="宋体"/>
                <w:spacing w:val="-8"/>
                <w:sz w:val="21"/>
                <w:szCs w:val="21"/>
              </w:rPr>
              <w:t>起</w:t>
            </w:r>
            <w:r>
              <w:rPr>
                <w:rFonts w:ascii="宋体" w:hAnsi="宋体" w:eastAsia="宋体" w:cs="宋体"/>
                <w:spacing w:val="4"/>
                <w:sz w:val="21"/>
                <w:szCs w:val="21"/>
              </w:rPr>
              <w:t xml:space="preserve"> </w:t>
            </w:r>
            <w:r>
              <w:rPr>
                <w:rFonts w:ascii="Times New Roman" w:hAnsi="Times New Roman" w:eastAsia="Times New Roman" w:cs="Times New Roman"/>
                <w:spacing w:val="-8"/>
                <w:sz w:val="21"/>
                <w:szCs w:val="21"/>
              </w:rPr>
              <w:t>15</w:t>
            </w:r>
            <w:r>
              <w:rPr>
                <w:rFonts w:ascii="Times New Roman" w:hAnsi="Times New Roman" w:eastAsia="Times New Roman" w:cs="Times New Roman"/>
                <w:spacing w:val="6"/>
                <w:sz w:val="21"/>
                <w:szCs w:val="21"/>
              </w:rPr>
              <w:t xml:space="preserve">  </w:t>
            </w:r>
            <w:r>
              <w:rPr>
                <w:rFonts w:ascii="宋体" w:hAnsi="宋体" w:eastAsia="宋体" w:cs="宋体"/>
                <w:spacing w:val="-8"/>
                <w:sz w:val="21"/>
                <w:szCs w:val="21"/>
              </w:rPr>
              <w:t>日内，向登记管理机关办理注销登记。办理注销登记，须提</w:t>
            </w:r>
            <w:r>
              <w:rPr>
                <w:rFonts w:ascii="宋体" w:hAnsi="宋体" w:eastAsia="宋体" w:cs="宋体"/>
                <w:spacing w:val="-2"/>
                <w:sz w:val="21"/>
                <w:szCs w:val="21"/>
              </w:rPr>
              <w:t>交注销登记申请书、业务主管单位的审查文件和清算报告。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spacing w:before="69" w:line="239" w:lineRule="auto"/>
              <w:ind w:left="17" w:leftChars="0" w:right="-102" w:rightChars="0" w:hanging="17" w:firstLineChars="0"/>
              <w:jc w:val="center"/>
              <w:rPr>
                <w:rFonts w:ascii="宋体" w:hAnsi="宋体" w:eastAsia="宋体" w:cs="宋体"/>
                <w:spacing w:val="-1"/>
                <w:sz w:val="21"/>
                <w:szCs w:val="21"/>
              </w:rPr>
            </w:pPr>
            <w:r>
              <w:rPr>
                <w:rFonts w:hint="eastAsia" w:ascii="Times New Roman" w:hAnsi="Times New Roman" w:eastAsia="宋体" w:cs="Times New Roman"/>
                <w:spacing w:val="-1"/>
                <w:sz w:val="21"/>
                <w:szCs w:val="21"/>
                <w:lang w:val="en-US" w:eastAsia="zh-CN"/>
              </w:rPr>
              <w:t>16</w:t>
            </w:r>
            <w:r>
              <w:rPr>
                <w:rFonts w:ascii="Times New Roman" w:hAnsi="Times New Roman" w:eastAsia="Times New Roman" w:cs="Times New Roman"/>
                <w:spacing w:val="-1"/>
                <w:sz w:val="21"/>
                <w:szCs w:val="21"/>
              </w:rPr>
              <w:t>.</w:t>
            </w:r>
            <w:r>
              <w:rPr>
                <w:rFonts w:ascii="宋体" w:hAnsi="宋体" w:eastAsia="宋体" w:cs="宋体"/>
                <w:spacing w:val="-1"/>
                <w:sz w:val="21"/>
                <w:szCs w:val="21"/>
              </w:rPr>
              <w:t>财务审计</w:t>
            </w:r>
            <w:r>
              <w:rPr>
                <w:rFonts w:ascii="宋体" w:hAnsi="宋体" w:eastAsia="宋体" w:cs="宋体"/>
                <w:spacing w:val="-2"/>
                <w:sz w:val="21"/>
                <w:szCs w:val="21"/>
              </w:rPr>
              <w:t>报告</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96" w:leftChars="0" w:right="112" w:rightChars="0" w:firstLine="8" w:firstLineChars="0"/>
              <w:jc w:val="center"/>
              <w:rPr>
                <w:rFonts w:ascii="宋体" w:hAnsi="宋体" w:eastAsia="宋体" w:cs="宋体"/>
                <w:spacing w:val="-5"/>
                <w:sz w:val="21"/>
                <w:szCs w:val="21"/>
              </w:rPr>
            </w:pPr>
            <w:r>
              <w:rPr>
                <w:rFonts w:ascii="宋体" w:hAnsi="宋体" w:eastAsia="宋体" w:cs="宋体"/>
                <w:spacing w:val="-3"/>
                <w:sz w:val="21"/>
                <w:szCs w:val="21"/>
              </w:rPr>
              <w:t>慈善组织公开</w:t>
            </w:r>
            <w:r>
              <w:rPr>
                <w:rFonts w:ascii="宋体" w:hAnsi="宋体" w:eastAsia="宋体" w:cs="宋体"/>
                <w:spacing w:val="-2"/>
                <w:sz w:val="21"/>
                <w:szCs w:val="21"/>
              </w:rPr>
              <w:t>募捐资格审批</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4"/>
                <w:sz w:val="21"/>
                <w:szCs w:val="21"/>
              </w:rPr>
            </w:pPr>
            <w:r>
              <w:rPr>
                <w:rFonts w:ascii="宋体" w:hAnsi="宋体" w:eastAsia="宋体" w:cs="宋体"/>
                <w:sz w:val="21"/>
                <w:szCs w:val="21"/>
              </w:rPr>
              <w:t>无</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 w:leftChars="0" w:right="0" w:rightChars="0"/>
              <w:jc w:val="both"/>
              <w:textAlignment w:val="baseline"/>
              <w:rPr>
                <w:rFonts w:ascii="宋体" w:hAnsi="宋体" w:eastAsia="宋体" w:cs="宋体"/>
                <w:spacing w:val="-7"/>
                <w:sz w:val="21"/>
                <w:szCs w:val="21"/>
              </w:rPr>
            </w:pPr>
            <w:r>
              <w:rPr>
                <w:rFonts w:ascii="宋体" w:hAnsi="宋体" w:eastAsia="宋体" w:cs="宋体"/>
                <w:spacing w:val="-6"/>
                <w:sz w:val="21"/>
                <w:szCs w:val="21"/>
              </w:rPr>
              <w:t>《慈善组织公开募捐管理办法》（</w:t>
            </w:r>
            <w:r>
              <w:rPr>
                <w:rFonts w:ascii="Times New Roman" w:hAnsi="Times New Roman" w:eastAsia="Times New Roman" w:cs="Times New Roman"/>
                <w:spacing w:val="-6"/>
                <w:sz w:val="21"/>
                <w:szCs w:val="21"/>
              </w:rPr>
              <w:t>2016</w:t>
            </w:r>
            <w:r>
              <w:rPr>
                <w:rFonts w:ascii="Times New Roman" w:hAnsi="Times New Roman" w:eastAsia="Times New Roman" w:cs="Times New Roman"/>
                <w:spacing w:val="29"/>
                <w:w w:val="101"/>
                <w:sz w:val="21"/>
                <w:szCs w:val="21"/>
              </w:rPr>
              <w:t xml:space="preserve"> </w:t>
            </w:r>
            <w:r>
              <w:rPr>
                <w:rFonts w:ascii="宋体" w:hAnsi="宋体" w:eastAsia="宋体" w:cs="宋体"/>
                <w:spacing w:val="-6"/>
                <w:sz w:val="21"/>
                <w:szCs w:val="21"/>
              </w:rPr>
              <w:t>年民政部令第</w:t>
            </w:r>
            <w:r>
              <w:rPr>
                <w:rFonts w:ascii="宋体" w:hAnsi="宋体" w:eastAsia="宋体" w:cs="宋体"/>
                <w:spacing w:val="-42"/>
                <w:sz w:val="21"/>
                <w:szCs w:val="21"/>
              </w:rPr>
              <w:t xml:space="preserve"> </w:t>
            </w:r>
            <w:r>
              <w:rPr>
                <w:rFonts w:ascii="Times New Roman" w:hAnsi="Times New Roman" w:eastAsia="Times New Roman" w:cs="Times New Roman"/>
                <w:spacing w:val="-6"/>
                <w:sz w:val="21"/>
                <w:szCs w:val="21"/>
              </w:rPr>
              <w:t>59</w:t>
            </w:r>
            <w:r>
              <w:rPr>
                <w:rFonts w:ascii="Times New Roman" w:hAnsi="Times New Roman" w:eastAsia="Times New Roman" w:cs="Times New Roman"/>
                <w:spacing w:val="14"/>
                <w:sz w:val="21"/>
                <w:szCs w:val="21"/>
              </w:rPr>
              <w:t xml:space="preserve"> </w:t>
            </w:r>
            <w:r>
              <w:rPr>
                <w:rFonts w:ascii="宋体" w:hAnsi="宋体" w:eastAsia="宋体" w:cs="宋体"/>
                <w:spacing w:val="-6"/>
                <w:sz w:val="21"/>
                <w:szCs w:val="21"/>
              </w:rPr>
              <w:t>号）第六</w:t>
            </w:r>
            <w:r>
              <w:rPr>
                <w:rFonts w:ascii="宋体" w:hAnsi="宋体" w:eastAsia="宋体" w:cs="宋体"/>
                <w:spacing w:val="-12"/>
                <w:sz w:val="21"/>
                <w:szCs w:val="21"/>
              </w:rPr>
              <w:t>条：慈善组织申请公开募捐资格，应当向其登记的民政部门提交下</w:t>
            </w:r>
            <w:r>
              <w:rPr>
                <w:rFonts w:ascii="宋体" w:hAnsi="宋体" w:eastAsia="宋体" w:cs="宋体"/>
                <w:spacing w:val="-16"/>
                <w:sz w:val="21"/>
                <w:szCs w:val="21"/>
              </w:rPr>
              <w:t>列材料</w:t>
            </w:r>
            <w:r>
              <w:rPr>
                <w:rFonts w:ascii="宋体" w:hAnsi="宋体" w:eastAsia="宋体" w:cs="宋体"/>
                <w:spacing w:val="-19"/>
                <w:sz w:val="21"/>
                <w:szCs w:val="21"/>
              </w:rPr>
              <w:t>：（</w:t>
            </w:r>
            <w:r>
              <w:rPr>
                <w:rFonts w:ascii="宋体" w:hAnsi="宋体" w:eastAsia="宋体" w:cs="宋体"/>
                <w:spacing w:val="-16"/>
                <w:sz w:val="21"/>
                <w:szCs w:val="21"/>
              </w:rPr>
              <w:t>二）注册会计师出具的申请前二年的财务审计报告，包</w:t>
            </w:r>
            <w:r>
              <w:rPr>
                <w:rFonts w:ascii="宋体" w:hAnsi="宋体" w:eastAsia="宋体" w:cs="宋体"/>
                <w:spacing w:val="-2"/>
                <w:sz w:val="21"/>
                <w:szCs w:val="21"/>
              </w:rPr>
              <w:t>括年度慈善活动支出和年度管理费用的专项审计。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56" w:hRule="atLeast"/>
        </w:trPr>
        <w:tc>
          <w:tcPr>
            <w:tcW w:w="975" w:type="dxa"/>
            <w:vMerge w:val="restart"/>
            <w:tcBorders>
              <w:top w:val="single" w:color="000000" w:sz="4" w:space="0"/>
              <w:left w:val="single" w:color="000000" w:sz="12" w:space="0"/>
              <w:bottom w:val="single" w:color="000000" w:sz="4" w:space="0"/>
              <w:right w:val="single" w:color="000000" w:sz="4" w:space="0"/>
            </w:tcBorders>
            <w:vAlign w:val="center"/>
          </w:tcPr>
          <w:p>
            <w:pPr>
              <w:numPr>
                <w:ilvl w:val="0"/>
                <w:numId w:val="0"/>
              </w:numPr>
              <w:spacing w:before="69" w:line="184" w:lineRule="auto"/>
              <w:ind w:leftChars="0"/>
              <w:jc w:val="center"/>
              <w:rPr>
                <w:rFonts w:ascii="宋体" w:hAnsi="宋体" w:eastAsia="宋体" w:cs="宋体"/>
                <w:spacing w:val="-1"/>
                <w:sz w:val="21"/>
                <w:szCs w:val="21"/>
              </w:rPr>
            </w:pPr>
            <w:r>
              <w:rPr>
                <w:rFonts w:hint="eastAsia" w:ascii="宋体" w:hAnsi="宋体" w:eastAsia="宋体" w:cs="宋体"/>
                <w:spacing w:val="-1"/>
                <w:sz w:val="21"/>
                <w:szCs w:val="21"/>
                <w:lang w:val="en-US" w:eastAsia="zh-CN"/>
              </w:rPr>
              <w:t>17.</w:t>
            </w:r>
            <w:r>
              <w:rPr>
                <w:rFonts w:ascii="宋体" w:hAnsi="宋体" w:eastAsia="宋体" w:cs="宋体"/>
                <w:spacing w:val="-1"/>
                <w:sz w:val="21"/>
                <w:szCs w:val="21"/>
              </w:rPr>
              <w:t>验资</w:t>
            </w:r>
          </w:p>
          <w:p>
            <w:pPr>
              <w:numPr>
                <w:ilvl w:val="0"/>
                <w:numId w:val="0"/>
              </w:numPr>
              <w:spacing w:before="69" w:line="184" w:lineRule="auto"/>
              <w:ind w:left="0" w:leftChars="0" w:firstLine="0" w:firstLineChars="0"/>
              <w:jc w:val="center"/>
              <w:rPr>
                <w:rFonts w:hint="eastAsia" w:ascii="Times New Roman" w:hAnsi="Times New Roman" w:eastAsia="宋体" w:cs="Times New Roman"/>
                <w:spacing w:val="-1"/>
                <w:sz w:val="21"/>
                <w:szCs w:val="21"/>
                <w:lang w:val="en-US" w:eastAsia="zh-CN"/>
              </w:rPr>
            </w:pPr>
            <w:r>
              <w:rPr>
                <w:rFonts w:ascii="宋体" w:hAnsi="宋体" w:eastAsia="宋体" w:cs="宋体"/>
                <w:spacing w:val="-1"/>
                <w:sz w:val="21"/>
                <w:szCs w:val="21"/>
              </w:rPr>
              <w:t>报告</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both"/>
              <w:rPr>
                <w:rFonts w:ascii="宋体" w:hAnsi="宋体" w:eastAsia="宋体" w:cs="宋体"/>
                <w:spacing w:val="-3"/>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宋体" w:hAnsi="宋体" w:eastAsia="宋体" w:cs="宋体"/>
                <w:sz w:val="21"/>
                <w:szCs w:val="21"/>
              </w:rPr>
            </w:pPr>
            <w:r>
              <w:rPr>
                <w:rFonts w:ascii="宋体" w:hAnsi="宋体" w:eastAsia="宋体" w:cs="宋体"/>
                <w:spacing w:val="-2"/>
                <w:sz w:val="21"/>
                <w:szCs w:val="21"/>
              </w:rPr>
              <w:t>基金会设立</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ascii="宋体" w:hAnsi="宋体" w:eastAsia="宋体" w:cs="宋体"/>
                <w:spacing w:val="-6"/>
                <w:sz w:val="21"/>
                <w:szCs w:val="21"/>
              </w:rPr>
            </w:pPr>
            <w:r>
              <w:rPr>
                <w:rFonts w:ascii="宋体" w:hAnsi="宋体" w:eastAsia="宋体" w:cs="宋体"/>
                <w:spacing w:val="-13"/>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3"/>
                <w:sz w:val="21"/>
                <w:szCs w:val="21"/>
              </w:rPr>
              <w:t>400</w:t>
            </w:r>
            <w:r>
              <w:rPr>
                <w:rFonts w:ascii="Times New Roman" w:hAnsi="Times New Roman" w:eastAsia="Times New Roman" w:cs="Times New Roman"/>
                <w:spacing w:val="14"/>
                <w:w w:val="101"/>
                <w:sz w:val="21"/>
                <w:szCs w:val="21"/>
              </w:rPr>
              <w:t xml:space="preserve"> </w:t>
            </w:r>
            <w:r>
              <w:rPr>
                <w:rFonts w:ascii="宋体" w:hAnsi="宋体" w:eastAsia="宋体" w:cs="宋体"/>
                <w:spacing w:val="-13"/>
                <w:sz w:val="21"/>
                <w:szCs w:val="21"/>
              </w:rPr>
              <w:t>号）</w:t>
            </w:r>
            <w:r>
              <w:rPr>
                <w:rFonts w:ascii="宋体" w:hAnsi="宋体" w:eastAsia="宋体" w:cs="宋体"/>
                <w:spacing w:val="-8"/>
                <w:sz w:val="21"/>
                <w:szCs w:val="21"/>
              </w:rPr>
              <w:t xml:space="preserve"> </w:t>
            </w:r>
            <w:r>
              <w:rPr>
                <w:rFonts w:ascii="宋体" w:hAnsi="宋体" w:eastAsia="宋体" w:cs="宋体"/>
                <w:spacing w:val="-13"/>
                <w:sz w:val="21"/>
                <w:szCs w:val="21"/>
              </w:rPr>
              <w:t>第九条：申请设立基金</w:t>
            </w:r>
            <w:r>
              <w:rPr>
                <w:rFonts w:ascii="宋体" w:hAnsi="宋体" w:eastAsia="宋体" w:cs="宋体"/>
                <w:spacing w:val="-19"/>
                <w:sz w:val="21"/>
                <w:szCs w:val="21"/>
              </w:rPr>
              <w:t>会，申请人应当向登记管理机关提交下列文件</w:t>
            </w:r>
            <w:r>
              <w:rPr>
                <w:rFonts w:ascii="宋体" w:hAnsi="宋体" w:eastAsia="宋体" w:cs="宋体"/>
                <w:spacing w:val="4"/>
                <w:sz w:val="21"/>
                <w:szCs w:val="21"/>
              </w:rPr>
              <w:t>：（</w:t>
            </w:r>
            <w:r>
              <w:rPr>
                <w:rFonts w:ascii="宋体" w:hAnsi="宋体" w:eastAsia="宋体" w:cs="宋体"/>
                <w:spacing w:val="-19"/>
                <w:sz w:val="21"/>
                <w:szCs w:val="21"/>
              </w:rPr>
              <w:t>三）</w:t>
            </w:r>
            <w:r>
              <w:rPr>
                <w:rFonts w:ascii="宋体" w:hAnsi="宋体" w:eastAsia="宋体" w:cs="宋体"/>
                <w:spacing w:val="4"/>
                <w:sz w:val="21"/>
                <w:szCs w:val="21"/>
              </w:rPr>
              <w:t xml:space="preserve"> </w:t>
            </w:r>
            <w:r>
              <w:rPr>
                <w:rFonts w:ascii="宋体" w:hAnsi="宋体" w:eastAsia="宋体" w:cs="宋体"/>
                <w:spacing w:val="-19"/>
                <w:sz w:val="21"/>
                <w:szCs w:val="21"/>
              </w:rPr>
              <w:t>验资证明和</w:t>
            </w:r>
            <w:r>
              <w:rPr>
                <w:rFonts w:ascii="宋体" w:hAnsi="宋体" w:eastAsia="宋体" w:cs="宋体"/>
                <w:spacing w:val="-6"/>
                <w:sz w:val="21"/>
                <w:szCs w:val="21"/>
              </w:rPr>
              <w:t>住所证明。</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21"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top"/>
          </w:tcPr>
          <w:p>
            <w:pPr>
              <w:rPr>
                <w:rFonts w:hint="eastAsia" w:ascii="Times New Roman" w:hAnsi="Times New Roman" w:eastAsia="宋体" w:cs="Times New Roman"/>
                <w:spacing w:val="-1"/>
                <w:sz w:val="21"/>
                <w:szCs w:val="21"/>
                <w:lang w:val="en-US" w:eastAsia="zh-CN"/>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3"/>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宋体" w:hAnsi="宋体" w:eastAsia="宋体" w:cs="宋体"/>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280" w:lineRule="exact"/>
              <w:ind w:left="17" w:leftChars="0" w:right="0" w:rightChars="0" w:firstLine="0" w:firstLineChars="0"/>
              <w:textAlignment w:val="baseline"/>
              <w:rPr>
                <w:rFonts w:ascii="宋体" w:hAnsi="宋体" w:eastAsia="宋体" w:cs="宋体"/>
                <w:spacing w:val="-6"/>
                <w:sz w:val="21"/>
                <w:szCs w:val="21"/>
              </w:rPr>
            </w:pPr>
            <w:r>
              <w:rPr>
                <w:rFonts w:ascii="宋体" w:hAnsi="宋体" w:eastAsia="宋体" w:cs="宋体"/>
                <w:spacing w:val="-13"/>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3"/>
                <w:sz w:val="21"/>
                <w:szCs w:val="21"/>
              </w:rPr>
              <w:t>400</w:t>
            </w:r>
            <w:r>
              <w:rPr>
                <w:rFonts w:ascii="Times New Roman" w:hAnsi="Times New Roman" w:eastAsia="Times New Roman" w:cs="Times New Roman"/>
                <w:spacing w:val="14"/>
                <w:w w:val="101"/>
                <w:sz w:val="21"/>
                <w:szCs w:val="21"/>
              </w:rPr>
              <w:t xml:space="preserve"> </w:t>
            </w:r>
            <w:r>
              <w:rPr>
                <w:rFonts w:ascii="宋体" w:hAnsi="宋体" w:eastAsia="宋体" w:cs="宋体"/>
                <w:spacing w:val="-13"/>
                <w:sz w:val="21"/>
                <w:szCs w:val="21"/>
              </w:rPr>
              <w:t>号）</w:t>
            </w:r>
            <w:r>
              <w:rPr>
                <w:rFonts w:ascii="宋体" w:hAnsi="宋体" w:eastAsia="宋体" w:cs="宋体"/>
                <w:spacing w:val="-8"/>
                <w:sz w:val="21"/>
                <w:szCs w:val="21"/>
              </w:rPr>
              <w:t xml:space="preserve"> </w:t>
            </w:r>
            <w:r>
              <w:rPr>
                <w:rFonts w:ascii="宋体" w:hAnsi="宋体" w:eastAsia="宋体" w:cs="宋体"/>
                <w:spacing w:val="-13"/>
                <w:sz w:val="21"/>
                <w:szCs w:val="21"/>
              </w:rPr>
              <w:t>第九条：申请设立基金</w:t>
            </w:r>
            <w:r>
              <w:rPr>
                <w:rFonts w:ascii="宋体" w:hAnsi="宋体" w:eastAsia="宋体" w:cs="宋体"/>
                <w:spacing w:val="-19"/>
                <w:sz w:val="21"/>
                <w:szCs w:val="21"/>
              </w:rPr>
              <w:t>会，申请人应当向登记管理机关提交下列文件</w:t>
            </w:r>
            <w:r>
              <w:rPr>
                <w:rFonts w:ascii="宋体" w:hAnsi="宋体" w:eastAsia="宋体" w:cs="宋体"/>
                <w:spacing w:val="4"/>
                <w:sz w:val="21"/>
                <w:szCs w:val="21"/>
              </w:rPr>
              <w:t>：</w:t>
            </w:r>
            <w:r>
              <w:rPr>
                <w:rFonts w:hint="eastAsia" w:ascii="宋体" w:hAnsi="宋体" w:eastAsia="宋体" w:cs="宋体"/>
                <w:spacing w:val="4"/>
                <w:sz w:val="21"/>
                <w:szCs w:val="21"/>
                <w:lang w:eastAsia="zh-CN"/>
              </w:rPr>
              <w:t>（</w:t>
            </w:r>
            <w:r>
              <w:rPr>
                <w:rFonts w:ascii="宋体" w:hAnsi="宋体" w:eastAsia="宋体" w:cs="宋体"/>
                <w:spacing w:val="-19"/>
                <w:sz w:val="21"/>
                <w:szCs w:val="21"/>
              </w:rPr>
              <w:t>三）</w:t>
            </w:r>
            <w:r>
              <w:rPr>
                <w:rFonts w:ascii="宋体" w:hAnsi="宋体" w:eastAsia="宋体" w:cs="宋体"/>
                <w:spacing w:val="4"/>
                <w:sz w:val="21"/>
                <w:szCs w:val="21"/>
              </w:rPr>
              <w:t xml:space="preserve"> </w:t>
            </w:r>
            <w:r>
              <w:rPr>
                <w:rFonts w:ascii="宋体" w:hAnsi="宋体" w:eastAsia="宋体" w:cs="宋体"/>
                <w:spacing w:val="-19"/>
                <w:sz w:val="21"/>
                <w:szCs w:val="21"/>
              </w:rPr>
              <w:t>验资证明和</w:t>
            </w:r>
            <w:r>
              <w:rPr>
                <w:rFonts w:ascii="宋体" w:hAnsi="宋体" w:eastAsia="宋体" w:cs="宋体"/>
                <w:sz w:val="21"/>
                <w:szCs w:val="21"/>
              </w:rPr>
              <w:t xml:space="preserve"> </w:t>
            </w:r>
            <w:r>
              <w:rPr>
                <w:rFonts w:ascii="宋体" w:hAnsi="宋体" w:eastAsia="宋体" w:cs="宋体"/>
                <w:spacing w:val="-8"/>
                <w:sz w:val="21"/>
                <w:szCs w:val="21"/>
              </w:rPr>
              <w:t>住所证明。第十五条：基金会、基金会分支机构、基金会代表机构</w:t>
            </w:r>
            <w:r>
              <w:rPr>
                <w:rFonts w:ascii="宋体" w:hAnsi="宋体" w:eastAsia="宋体" w:cs="宋体"/>
                <w:sz w:val="21"/>
                <w:szCs w:val="21"/>
              </w:rPr>
              <w:t xml:space="preserve"> </w:t>
            </w:r>
            <w:r>
              <w:rPr>
                <w:rFonts w:ascii="宋体" w:hAnsi="宋体" w:eastAsia="宋体" w:cs="宋体"/>
                <w:spacing w:val="-6"/>
                <w:sz w:val="21"/>
                <w:szCs w:val="21"/>
              </w:rPr>
              <w:t>和境外基金会代表机构的登记事项需要变更的，应当向登记管理机</w:t>
            </w:r>
            <w:r>
              <w:rPr>
                <w:rFonts w:ascii="宋体" w:hAnsi="宋体" w:eastAsia="宋体" w:cs="宋体"/>
                <w:spacing w:val="-5"/>
                <w:sz w:val="21"/>
                <w:szCs w:val="21"/>
              </w:rPr>
              <w:t>关申请变更登记。</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bidi w:val="0"/>
      </w:pPr>
    </w:p>
    <w:p>
      <w:pPr>
        <w:bidi w:val="0"/>
      </w:pPr>
    </w:p>
    <w:p>
      <w:pPr>
        <w:bidi w:val="0"/>
      </w:pPr>
    </w:p>
    <w:p>
      <w:pPr>
        <w:bidi w:val="0"/>
      </w:pPr>
    </w:p>
    <w:p>
      <w:pPr>
        <w:bidi w:val="0"/>
      </w:pPr>
    </w:p>
    <w:tbl>
      <w:tblPr>
        <w:tblStyle w:val="8"/>
        <w:tblpPr w:leftFromText="180" w:rightFromText="180" w:vertAnchor="text" w:horzAnchor="page" w:tblpX="1056" w:tblpY="131"/>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0"/>
        <w:gridCol w:w="1485"/>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78"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15"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68" w:line="239" w:lineRule="auto"/>
              <w:jc w:val="center"/>
              <w:rPr>
                <w:rFonts w:ascii="宋体" w:hAnsi="宋体" w:eastAsia="宋体" w:cs="宋体"/>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left="20" w:leftChars="0" w:right="3" w:rightChars="0"/>
              <w:jc w:val="both"/>
              <w:textAlignment w:val="baseline"/>
              <w:rPr>
                <w:rFonts w:ascii="宋体" w:hAnsi="宋体" w:eastAsia="宋体" w:cs="宋体"/>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清算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0" w:leftChars="0" w:firstLine="0" w:firstLineChars="0"/>
              <w:jc w:val="center"/>
              <w:textAlignment w:val="baseline"/>
              <w:rPr>
                <w:rFonts w:ascii="宋体" w:hAnsi="宋体" w:eastAsia="宋体" w:cs="宋体"/>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7" w:firstLineChars="0"/>
              <w:jc w:val="center"/>
              <w:textAlignment w:val="baseline"/>
              <w:rPr>
                <w:rFonts w:ascii="宋体" w:hAnsi="宋体" w:eastAsia="宋体" w:cs="宋体"/>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jc w:val="center"/>
              <w:rPr>
                <w:rFonts w:ascii="宋体" w:hAnsi="宋体" w:eastAsia="宋体" w:cs="宋体"/>
                <w:sz w:val="21"/>
                <w:szCs w:val="21"/>
              </w:rPr>
            </w:pPr>
            <w:r>
              <w:rPr>
                <w:rFonts w:ascii="宋体" w:hAnsi="宋体" w:eastAsia="宋体" w:cs="宋体"/>
                <w:spacing w:val="-2"/>
                <w:sz w:val="21"/>
                <w:szCs w:val="21"/>
              </w:rPr>
              <w:t>基金会注销</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ascii="宋体" w:hAnsi="宋体" w:eastAsia="宋体" w:cs="宋体"/>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第十八条：基金会在办</w:t>
            </w:r>
            <w:r>
              <w:rPr>
                <w:rFonts w:ascii="宋体" w:hAnsi="宋体" w:eastAsia="宋体" w:cs="宋体"/>
                <w:spacing w:val="-7"/>
                <w:sz w:val="21"/>
                <w:szCs w:val="21"/>
              </w:rPr>
              <w:t>理注销登记前，应当在登记管理机关、业务主管单位的指导下成立</w:t>
            </w:r>
            <w:r>
              <w:rPr>
                <w:rFonts w:ascii="宋体" w:hAnsi="宋体" w:eastAsia="宋体" w:cs="宋体"/>
                <w:sz w:val="21"/>
                <w:szCs w:val="21"/>
              </w:rPr>
              <w:t xml:space="preserve"> </w:t>
            </w:r>
            <w:r>
              <w:rPr>
                <w:rFonts w:ascii="宋体" w:hAnsi="宋体" w:eastAsia="宋体" w:cs="宋体"/>
                <w:spacing w:val="-3"/>
                <w:sz w:val="21"/>
                <w:szCs w:val="21"/>
              </w:rPr>
              <w:t>算组织，完成清算工作。</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1"/>
                <w:sz w:val="21"/>
                <w:szCs w:val="21"/>
              </w:rPr>
            </w:pPr>
            <w:r>
              <w:rPr>
                <w:rFonts w:ascii="宋体" w:hAnsi="宋体" w:eastAsia="宋体" w:cs="宋体"/>
                <w:spacing w:val="-1"/>
                <w:sz w:val="21"/>
                <w:szCs w:val="21"/>
              </w:rPr>
              <w:t>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0" w:leftChars="0" w:firstLine="0" w:firstLineChars="0"/>
              <w:jc w:val="center"/>
              <w:textAlignment w:val="baseline"/>
              <w:rPr>
                <w:rFonts w:ascii="宋体" w:hAnsi="宋体" w:eastAsia="宋体" w:cs="宋体"/>
                <w:spacing w:val="-1"/>
                <w:sz w:val="21"/>
                <w:szCs w:val="21"/>
              </w:rPr>
            </w:pPr>
            <w:r>
              <w:rPr>
                <w:rFonts w:ascii="宋体" w:hAnsi="宋体" w:eastAsia="宋体" w:cs="宋体"/>
                <w:spacing w:val="-1"/>
                <w:sz w:val="21"/>
                <w:szCs w:val="21"/>
              </w:rPr>
              <w:t>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spacing w:before="265" w:line="184" w:lineRule="auto"/>
              <w:ind w:firstLine="7" w:firstLineChars="0"/>
              <w:jc w:val="center"/>
              <w:rPr>
                <w:rFonts w:ascii="宋体" w:hAnsi="宋体" w:eastAsia="宋体" w:cs="宋体"/>
                <w:spacing w:val="-5"/>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top"/>
          </w:tcPr>
          <w:p>
            <w:pPr>
              <w:spacing w:line="294" w:lineRule="auto"/>
              <w:rPr>
                <w:rFonts w:ascii="宋体"/>
                <w:sz w:val="21"/>
              </w:rPr>
            </w:pPr>
          </w:p>
          <w:p>
            <w:pPr>
              <w:spacing w:before="68" w:line="239" w:lineRule="auto"/>
              <w:rPr>
                <w:rFonts w:ascii="宋体" w:hAnsi="宋体" w:eastAsia="宋体" w:cs="宋体"/>
                <w:spacing w:val="-4"/>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right="3" w:rightChars="0"/>
              <w:jc w:val="both"/>
              <w:rPr>
                <w:rFonts w:ascii="宋体" w:hAnsi="宋体" w:eastAsia="宋体" w:cs="宋体"/>
                <w:spacing w:val="-7"/>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pacing w:val="-1"/>
                <w:sz w:val="21"/>
                <w:szCs w:val="21"/>
              </w:rPr>
            </w:pPr>
            <w:r>
              <w:rPr>
                <w:rFonts w:ascii="宋体" w:hAnsi="宋体" w:eastAsia="宋体" w:cs="宋体"/>
                <w:spacing w:val="-1"/>
                <w:sz w:val="21"/>
                <w:szCs w:val="21"/>
              </w:rPr>
              <w:t>2</w:t>
            </w: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.离任审计</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7" w:firstLineChars="0"/>
              <w:jc w:val="center"/>
              <w:textAlignment w:val="baseline"/>
              <w:rPr>
                <w:rFonts w:ascii="宋体" w:hAnsi="宋体" w:eastAsia="宋体" w:cs="宋体"/>
                <w:spacing w:val="-6"/>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both"/>
              <w:textAlignment w:val="baseline"/>
              <w:rPr>
                <w:rFonts w:ascii="宋体" w:hAnsi="宋体" w:eastAsia="宋体" w:cs="宋体"/>
                <w:spacing w:val="-2"/>
                <w:sz w:val="21"/>
                <w:szCs w:val="21"/>
              </w:rPr>
            </w:pPr>
            <w:r>
              <w:rPr>
                <w:rFonts w:ascii="宋体" w:hAnsi="宋体" w:eastAsia="宋体" w:cs="宋体"/>
                <w:spacing w:val="-2"/>
                <w:sz w:val="21"/>
                <w:szCs w:val="21"/>
              </w:rPr>
              <w:t>基金会变更</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3" w:rightChars="0"/>
              <w:jc w:val="left"/>
              <w:textAlignment w:val="baseline"/>
              <w:rPr>
                <w:rFonts w:ascii="宋体" w:hAnsi="宋体" w:eastAsia="宋体" w:cs="宋体"/>
                <w:spacing w:val="-12"/>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第三十七条：基金会在</w:t>
            </w:r>
            <w:r>
              <w:rPr>
                <w:rFonts w:ascii="宋体" w:hAnsi="宋体" w:eastAsia="宋体" w:cs="宋体"/>
                <w:spacing w:val="-2"/>
                <w:sz w:val="21"/>
                <w:szCs w:val="21"/>
              </w:rPr>
              <w:t>换届和更换法定代表人之前，应当进行财务审计。</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66" w:hRule="atLeast"/>
        </w:trPr>
        <w:tc>
          <w:tcPr>
            <w:tcW w:w="975"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jc w:val="center"/>
              <w:textAlignment w:val="baseline"/>
              <w:rPr>
                <w:rFonts w:ascii="宋体" w:hAnsi="宋体" w:eastAsia="宋体" w:cs="宋体"/>
                <w:spacing w:val="-1"/>
                <w:sz w:val="21"/>
                <w:szCs w:val="21"/>
              </w:rPr>
            </w:pPr>
            <w:r>
              <w:rPr>
                <w:rFonts w:ascii="宋体" w:hAnsi="宋体" w:eastAsia="宋体" w:cs="宋体"/>
                <w:spacing w:val="-1"/>
                <w:sz w:val="21"/>
                <w:szCs w:val="21"/>
              </w:rPr>
              <w:t>2</w:t>
            </w: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.清算审计</w:t>
            </w:r>
          </w:p>
        </w:tc>
        <w:tc>
          <w:tcPr>
            <w:tcW w:w="1410"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6"/>
                <w:sz w:val="21"/>
                <w:szCs w:val="21"/>
              </w:rPr>
            </w:pPr>
            <w:r>
              <w:rPr>
                <w:rFonts w:ascii="宋体" w:hAnsi="宋体" w:eastAsia="宋体" w:cs="宋体"/>
                <w:spacing w:val="-6"/>
                <w:sz w:val="21"/>
                <w:szCs w:val="21"/>
              </w:rPr>
              <w:t>基金会设立、变更、注销登记和</w:t>
            </w:r>
            <w:r>
              <w:rPr>
                <w:rFonts w:ascii="宋体" w:hAnsi="宋体" w:eastAsia="宋体" w:cs="宋体"/>
                <w:spacing w:val="-2"/>
                <w:sz w:val="21"/>
                <w:szCs w:val="21"/>
              </w:rPr>
              <w:t>章程核准</w:t>
            </w:r>
          </w:p>
        </w:tc>
        <w:tc>
          <w:tcPr>
            <w:tcW w:w="1485"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jc w:val="center"/>
              <w:rPr>
                <w:rFonts w:ascii="宋体" w:hAnsi="宋体" w:eastAsia="宋体" w:cs="宋体"/>
                <w:spacing w:val="-2"/>
                <w:sz w:val="21"/>
                <w:szCs w:val="21"/>
              </w:rPr>
            </w:pPr>
            <w:r>
              <w:rPr>
                <w:rFonts w:ascii="宋体" w:hAnsi="宋体" w:eastAsia="宋体" w:cs="宋体"/>
                <w:spacing w:val="-2"/>
                <w:sz w:val="21"/>
                <w:szCs w:val="21"/>
              </w:rPr>
              <w:t>基金会注销</w:t>
            </w:r>
            <w:r>
              <w:rPr>
                <w:rFonts w:ascii="宋体" w:hAnsi="宋体" w:eastAsia="宋体" w:cs="宋体"/>
                <w:spacing w:val="-4"/>
                <w:sz w:val="21"/>
                <w:szCs w:val="21"/>
              </w:rPr>
              <w:t>登记</w:t>
            </w:r>
          </w:p>
        </w:tc>
        <w:tc>
          <w:tcPr>
            <w:tcW w:w="945" w:type="dxa"/>
            <w:tcBorders>
              <w:top w:val="single" w:color="000000" w:sz="4" w:space="0"/>
              <w:left w:val="single" w:color="000000" w:sz="4" w:space="0"/>
              <w:bottom w:val="single" w:color="000000" w:sz="12" w:space="0"/>
              <w:right w:val="single" w:color="000000" w:sz="4" w:space="0"/>
            </w:tcBorders>
            <w:vAlign w:val="center"/>
          </w:tcPr>
          <w:p>
            <w:pPr>
              <w:spacing w:before="68" w:line="184" w:lineRule="auto"/>
              <w:jc w:val="center"/>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12" w:space="0"/>
              <w:right w:val="single" w:color="000000" w:sz="4" w:space="0"/>
            </w:tcBorders>
            <w:vAlign w:val="center"/>
          </w:tcPr>
          <w:p>
            <w:pPr>
              <w:spacing w:before="68" w:line="239" w:lineRule="auto"/>
              <w:ind w:left="19" w:leftChars="0" w:right="3" w:rightChars="0" w:firstLine="1" w:firstLineChars="0"/>
              <w:jc w:val="left"/>
              <w:rPr>
                <w:rFonts w:ascii="宋体" w:hAnsi="宋体" w:eastAsia="宋体" w:cs="宋体"/>
                <w:spacing w:val="-12"/>
                <w:sz w:val="21"/>
                <w:szCs w:val="21"/>
              </w:rPr>
            </w:pPr>
            <w:r>
              <w:rPr>
                <w:rFonts w:ascii="宋体" w:hAnsi="宋体" w:eastAsia="宋体" w:cs="宋体"/>
                <w:spacing w:val="-12"/>
                <w:sz w:val="21"/>
                <w:szCs w:val="21"/>
              </w:rPr>
              <w:t>《基金会管理条例》（国务院令第</w:t>
            </w:r>
            <w:r>
              <w:rPr>
                <w:rFonts w:ascii="宋体" w:hAnsi="宋体" w:eastAsia="宋体" w:cs="宋体"/>
                <w:spacing w:val="-22"/>
                <w:sz w:val="21"/>
                <w:szCs w:val="21"/>
              </w:rPr>
              <w:t xml:space="preserve"> </w:t>
            </w:r>
            <w:r>
              <w:rPr>
                <w:rFonts w:ascii="Times New Roman" w:hAnsi="Times New Roman" w:eastAsia="Times New Roman" w:cs="Times New Roman"/>
                <w:spacing w:val="-12"/>
                <w:sz w:val="21"/>
                <w:szCs w:val="21"/>
              </w:rPr>
              <w:t>400</w:t>
            </w:r>
            <w:r>
              <w:rPr>
                <w:rFonts w:ascii="Times New Roman" w:hAnsi="Times New Roman" w:eastAsia="Times New Roman" w:cs="Times New Roman"/>
                <w:spacing w:val="15"/>
                <w:sz w:val="21"/>
                <w:szCs w:val="21"/>
              </w:rPr>
              <w:t xml:space="preserve"> </w:t>
            </w:r>
            <w:r>
              <w:rPr>
                <w:rFonts w:ascii="宋体" w:hAnsi="宋体" w:eastAsia="宋体" w:cs="宋体"/>
                <w:spacing w:val="-12"/>
                <w:sz w:val="21"/>
                <w:szCs w:val="21"/>
              </w:rPr>
              <w:t>号）</w:t>
            </w:r>
            <w:r>
              <w:rPr>
                <w:rFonts w:ascii="宋体" w:hAnsi="宋体" w:eastAsia="宋体" w:cs="宋体"/>
                <w:spacing w:val="-8"/>
                <w:sz w:val="21"/>
                <w:szCs w:val="21"/>
              </w:rPr>
              <w:t xml:space="preserve"> </w:t>
            </w:r>
            <w:r>
              <w:rPr>
                <w:rFonts w:ascii="宋体" w:hAnsi="宋体" w:eastAsia="宋体" w:cs="宋体"/>
                <w:spacing w:val="-12"/>
                <w:sz w:val="21"/>
                <w:szCs w:val="21"/>
              </w:rPr>
              <w:t>第十八条：基金会在办</w:t>
            </w:r>
            <w:r>
              <w:rPr>
                <w:rFonts w:ascii="宋体" w:hAnsi="宋体" w:eastAsia="宋体" w:cs="宋体"/>
                <w:spacing w:val="-7"/>
                <w:sz w:val="21"/>
                <w:szCs w:val="21"/>
              </w:rPr>
              <w:t>理注销登记前，应当在登记管理机关、业务主管单位的指导下成立</w:t>
            </w:r>
            <w:r>
              <w:rPr>
                <w:rFonts w:ascii="宋体" w:hAnsi="宋体" w:eastAsia="宋体" w:cs="宋体"/>
                <w:sz w:val="21"/>
                <w:szCs w:val="21"/>
              </w:rPr>
              <w:t xml:space="preserve"> </w:t>
            </w:r>
            <w:r>
              <w:rPr>
                <w:rFonts w:ascii="宋体" w:hAnsi="宋体" w:eastAsia="宋体" w:cs="宋体"/>
                <w:spacing w:val="-3"/>
                <w:sz w:val="21"/>
                <w:szCs w:val="21"/>
              </w:rPr>
              <w:t>清算组织，完成清算工作。</w:t>
            </w:r>
          </w:p>
        </w:tc>
        <w:tc>
          <w:tcPr>
            <w:tcW w:w="1170" w:type="dxa"/>
            <w:tcBorders>
              <w:top w:val="single" w:color="000000" w:sz="4" w:space="0"/>
              <w:left w:val="single" w:color="000000" w:sz="4" w:space="0"/>
              <w:bottom w:val="single" w:color="000000" w:sz="12"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tabs>
          <w:tab w:val="center" w:pos="7385"/>
        </w:tabs>
        <w:bidi w:val="0"/>
        <w:jc w:val="left"/>
        <w:sectPr>
          <w:footerReference r:id="rId7"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tbl>
      <w:tblPr>
        <w:tblStyle w:val="8"/>
        <w:tblpPr w:leftFromText="180" w:rightFromText="180" w:vertAnchor="text" w:horzAnchor="page" w:tblpX="1056" w:tblpY="131"/>
        <w:tblOverlap w:val="never"/>
        <w:tblW w:w="14739"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75"/>
        <w:gridCol w:w="1418"/>
        <w:gridCol w:w="1477"/>
        <w:gridCol w:w="945"/>
        <w:gridCol w:w="7710"/>
        <w:gridCol w:w="1170"/>
        <w:gridCol w:w="104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3" w:hRule="atLeast"/>
        </w:trPr>
        <w:tc>
          <w:tcPr>
            <w:tcW w:w="97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95"/>
              <w:jc w:val="center"/>
              <w:textAlignment w:val="baseline"/>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pacing w:val="-3"/>
                <w:sz w:val="21"/>
                <w:szCs w:val="21"/>
              </w:rPr>
              <w:t>名称</w:t>
            </w:r>
          </w:p>
        </w:tc>
        <w:tc>
          <w:tcPr>
            <w:tcW w:w="384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2"/>
                <w:sz w:val="21"/>
                <w:szCs w:val="21"/>
              </w:rPr>
              <w:t>关联的政务服务事项</w:t>
            </w:r>
          </w:p>
        </w:tc>
        <w:tc>
          <w:tcPr>
            <w:tcW w:w="771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jc w:val="center"/>
              <w:textAlignment w:val="baseline"/>
              <w:rPr>
                <w:rFonts w:ascii="黑体" w:hAnsi="黑体" w:eastAsia="黑体" w:cs="黑体"/>
                <w:sz w:val="21"/>
                <w:szCs w:val="21"/>
              </w:rPr>
            </w:pPr>
            <w:r>
              <w:rPr>
                <w:rFonts w:ascii="黑体" w:hAnsi="黑体" w:eastAsia="黑体" w:cs="黑体"/>
                <w:spacing w:val="-3"/>
                <w:sz w:val="21"/>
                <w:szCs w:val="21"/>
              </w:rPr>
              <w:t>设定依据</w:t>
            </w:r>
          </w:p>
        </w:tc>
        <w:tc>
          <w:tcPr>
            <w:tcW w:w="117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right="155"/>
              <w:jc w:val="center"/>
              <w:textAlignment w:val="baseline"/>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2"/>
                <w:sz w:val="21"/>
                <w:szCs w:val="21"/>
              </w:rPr>
              <w:t>依据</w:t>
            </w:r>
          </w:p>
        </w:tc>
        <w:tc>
          <w:tcPr>
            <w:tcW w:w="1044"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jc w:val="center"/>
              <w:textAlignment w:val="baseline"/>
              <w:rPr>
                <w:rFonts w:ascii="黑体" w:hAnsi="黑体" w:eastAsia="黑体" w:cs="黑体"/>
                <w:sz w:val="21"/>
                <w:szCs w:val="21"/>
              </w:rPr>
            </w:pPr>
            <w:r>
              <w:rPr>
                <w:rFonts w:ascii="黑体" w:hAnsi="黑体" w:eastAsia="黑体" w:cs="黑体"/>
                <w:spacing w:val="-3"/>
                <w:sz w:val="21"/>
                <w:szCs w:val="21"/>
              </w:rPr>
              <w:t>服务</w:t>
            </w:r>
            <w:r>
              <w:rPr>
                <w:rFonts w:ascii="黑体" w:hAnsi="黑体" w:eastAsia="黑体" w:cs="黑体"/>
                <w:spacing w:val="-6"/>
                <w:sz w:val="21"/>
                <w:szCs w:val="21"/>
              </w:rPr>
              <w:t>时限</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8"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sz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firstLine="318"/>
              <w:jc w:val="center"/>
              <w:textAlignment w:val="baseline"/>
              <w:rPr>
                <w:rFonts w:ascii="黑体" w:hAnsi="黑体" w:eastAsia="黑体" w:cs="黑体"/>
                <w:sz w:val="21"/>
                <w:szCs w:val="21"/>
              </w:rPr>
            </w:pPr>
            <w:r>
              <w:rPr>
                <w:rFonts w:ascii="黑体" w:hAnsi="黑体" w:eastAsia="黑体" w:cs="黑体"/>
                <w:spacing w:val="-4"/>
                <w:sz w:val="21"/>
                <w:szCs w:val="21"/>
              </w:rPr>
              <w:t>主项名称</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子项名称</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ascii="黑体" w:hAnsi="黑体" w:eastAsia="黑体" w:cs="黑体"/>
                <w:sz w:val="21"/>
                <w:szCs w:val="21"/>
              </w:rPr>
            </w:pPr>
            <w:r>
              <w:rPr>
                <w:rFonts w:ascii="黑体" w:hAnsi="黑体" w:eastAsia="黑体" w:cs="黑体"/>
                <w:spacing w:val="-3"/>
                <w:sz w:val="21"/>
                <w:szCs w:val="21"/>
              </w:rPr>
              <w:t>事项类型</w:t>
            </w:r>
          </w:p>
        </w:tc>
        <w:tc>
          <w:tcPr>
            <w:tcW w:w="771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170" w:type="dxa"/>
            <w:vMerge w:val="continue"/>
            <w:tcBorders>
              <w:top w:val="single" w:color="000000" w:sz="4" w:space="0"/>
              <w:left w:val="single" w:color="000000" w:sz="4" w:space="0"/>
              <w:bottom w:val="single" w:color="000000" w:sz="4" w:space="0"/>
              <w:right w:val="single" w:color="000000" w:sz="4" w:space="0"/>
            </w:tcBorders>
            <w:vAlign w:val="top"/>
          </w:tcPr>
          <w:p>
            <w:pPr>
              <w:rPr>
                <w:rFonts w:ascii="宋体"/>
                <w:sz w:val="21"/>
              </w:rPr>
            </w:pPr>
          </w:p>
        </w:tc>
        <w:tc>
          <w:tcPr>
            <w:tcW w:w="1044" w:type="dxa"/>
            <w:vMerge w:val="continue"/>
            <w:tcBorders>
              <w:top w:val="single" w:color="000000" w:sz="4" w:space="0"/>
              <w:left w:val="single" w:color="000000" w:sz="4" w:space="0"/>
              <w:bottom w:val="single" w:color="000000" w:sz="4" w:space="0"/>
              <w:right w:val="single" w:color="000000" w:sz="12" w:space="0"/>
            </w:tcBorders>
            <w:vAlign w:val="top"/>
          </w:tcPr>
          <w:p>
            <w:pPr>
              <w:rPr>
                <w:rFonts w:ascii="宋体"/>
                <w:sz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740" w:hRule="atLeast"/>
        </w:trPr>
        <w:tc>
          <w:tcPr>
            <w:tcW w:w="975" w:type="dxa"/>
            <w:tcBorders>
              <w:top w:val="single" w:color="000000" w:sz="4" w:space="0"/>
              <w:left w:val="single" w:color="000000" w:sz="12" w:space="0"/>
              <w:bottom w:val="single" w:color="000000" w:sz="4" w:space="0"/>
              <w:right w:val="single" w:color="000000" w:sz="4" w:space="0"/>
            </w:tcBorders>
            <w:vAlign w:val="center"/>
          </w:tcPr>
          <w:p>
            <w:pPr>
              <w:spacing w:before="68" w:line="184" w:lineRule="auto"/>
              <w:jc w:val="center"/>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3</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139" w:rightChars="66"/>
              <w:jc w:val="center"/>
              <w:textAlignment w:val="baseline"/>
              <w:rPr>
                <w:rFonts w:ascii="宋体" w:hAnsi="宋体" w:eastAsia="宋体" w:cs="宋体"/>
                <w:sz w:val="21"/>
                <w:szCs w:val="21"/>
              </w:rPr>
            </w:pPr>
            <w:r>
              <w:rPr>
                <w:rFonts w:ascii="宋体" w:hAnsi="宋体" w:eastAsia="宋体" w:cs="宋体"/>
                <w:spacing w:val="-6"/>
                <w:sz w:val="21"/>
                <w:szCs w:val="21"/>
              </w:rPr>
              <w:t>新建、改建、扩建生产、储存危</w:t>
            </w:r>
            <w:r>
              <w:rPr>
                <w:rFonts w:ascii="宋体" w:hAnsi="宋体" w:eastAsia="宋体" w:cs="宋体"/>
                <w:spacing w:val="-3"/>
                <w:sz w:val="21"/>
                <w:szCs w:val="21"/>
              </w:rPr>
              <w:t>险化学品的建</w:t>
            </w:r>
            <w:r>
              <w:rPr>
                <w:rFonts w:ascii="宋体" w:hAnsi="宋体" w:eastAsia="宋体" w:cs="宋体"/>
                <w:spacing w:val="-2"/>
                <w:sz w:val="21"/>
                <w:szCs w:val="21"/>
              </w:rPr>
              <w:t>设项目安全条件审查</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z w:val="21"/>
                <w:szCs w:val="21"/>
              </w:rPr>
              <w:t>无</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80" w:lineRule="exact"/>
              <w:ind w:left="0" w:leftChars="0" w:firstLine="0" w:firstLineChars="0"/>
              <w:jc w:val="both"/>
              <w:textAlignment w:val="baseline"/>
              <w:rPr>
                <w:rFonts w:ascii="宋体" w:hAnsi="宋体" w:eastAsia="宋体" w:cs="宋体"/>
                <w:spacing w:val="-12"/>
                <w:sz w:val="21"/>
                <w:szCs w:val="21"/>
              </w:rPr>
            </w:pPr>
            <w:r>
              <w:rPr>
                <w:rFonts w:ascii="宋体" w:hAnsi="宋体" w:eastAsia="宋体" w:cs="宋体"/>
                <w:spacing w:val="-12"/>
                <w:sz w:val="21"/>
                <w:szCs w:val="21"/>
              </w:rPr>
              <w:t>《建设项目安全设施“三同时”监督管理办法》（2010年12月国家安全监管总局令第36号，2015年4月修正）第八条：生产经营单位应当委托具有相应资质的安全评价机构，对其建设项目进行安全预评价，并编制安全预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ascii="宋体" w:hAnsi="宋体" w:eastAsia="宋体" w:cs="宋体"/>
                <w:sz w:val="21"/>
                <w:szCs w:val="21"/>
              </w:rPr>
            </w:pPr>
            <w:r>
              <w:rPr>
                <w:rFonts w:ascii="宋体" w:hAnsi="宋体" w:eastAsia="宋体" w:cs="宋体"/>
                <w:spacing w:val="-12"/>
                <w:sz w:val="21"/>
                <w:szCs w:val="21"/>
              </w:rPr>
              <w:t>3.《危险化学品建设项目安全监督管理办法》（2012年1月国家安监总局令第45号，2015年5月修改第八条：建设单位应当在建设项目的可行性研究阶段，委托具备相应资质的安全评价机构对建设项目进行安全评价。</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990" w:hRule="atLeast"/>
        </w:trPr>
        <w:tc>
          <w:tcPr>
            <w:tcW w:w="975" w:type="dxa"/>
            <w:vMerge w:val="restart"/>
            <w:tcBorders>
              <w:top w:val="single" w:color="000000" w:sz="4" w:space="0"/>
              <w:left w:val="single" w:color="000000" w:sz="12" w:space="0"/>
              <w:bottom w:val="single" w:color="000000" w:sz="4" w:space="0"/>
              <w:right w:val="single" w:color="000000" w:sz="4" w:space="0"/>
            </w:tcBorders>
            <w:vAlign w:val="center"/>
          </w:tcPr>
          <w:p>
            <w:pPr>
              <w:spacing w:before="69" w:line="184" w:lineRule="auto"/>
              <w:jc w:val="center"/>
              <w:rPr>
                <w:rFonts w:ascii="Times New Roman" w:hAnsi="Times New Roman" w:eastAsia="Times New Roman" w:cs="Times New Roman"/>
                <w:spacing w:val="-1"/>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4</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7"/>
                <w:sz w:val="21"/>
                <w:szCs w:val="21"/>
              </w:rPr>
              <w:t>非煤矿矿山、金</w:t>
            </w:r>
            <w:r>
              <w:rPr>
                <w:rFonts w:ascii="宋体" w:hAnsi="宋体" w:eastAsia="宋体" w:cs="宋体"/>
                <w:spacing w:val="-2"/>
                <w:sz w:val="21"/>
                <w:szCs w:val="21"/>
              </w:rPr>
              <w:t>属冶炼建设项</w:t>
            </w:r>
            <w:r>
              <w:rPr>
                <w:rFonts w:ascii="宋体" w:hAnsi="宋体" w:eastAsia="宋体" w:cs="宋体"/>
                <w:spacing w:val="-12"/>
                <w:sz w:val="21"/>
                <w:szCs w:val="21"/>
              </w:rPr>
              <w:t>目和生产、储存</w:t>
            </w:r>
            <w:r>
              <w:rPr>
                <w:rFonts w:ascii="宋体" w:hAnsi="宋体" w:eastAsia="宋体" w:cs="宋体"/>
                <w:spacing w:val="-6"/>
                <w:sz w:val="21"/>
                <w:szCs w:val="21"/>
              </w:rPr>
              <w:t>危险化学品、烟</w:t>
            </w:r>
            <w:r>
              <w:rPr>
                <w:rFonts w:ascii="宋体" w:hAnsi="宋体" w:eastAsia="宋体" w:cs="宋体"/>
                <w:spacing w:val="-2"/>
                <w:sz w:val="21"/>
                <w:szCs w:val="21"/>
              </w:rPr>
              <w:t>花爆竹的建设项目安全设施</w:t>
            </w:r>
            <w:r>
              <w:rPr>
                <w:rFonts w:ascii="宋体" w:hAnsi="宋体" w:eastAsia="宋体" w:cs="宋体"/>
                <w:spacing w:val="-3"/>
                <w:sz w:val="21"/>
                <w:szCs w:val="21"/>
              </w:rPr>
              <w:t>设计审查</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right="48" w:rightChars="0"/>
              <w:jc w:val="center"/>
              <w:textAlignment w:val="baseline"/>
              <w:rPr>
                <w:rFonts w:ascii="宋体" w:hAnsi="宋体" w:eastAsia="宋体" w:cs="宋体"/>
                <w:sz w:val="21"/>
                <w:szCs w:val="21"/>
              </w:rPr>
            </w:pPr>
            <w:r>
              <w:rPr>
                <w:rFonts w:ascii="宋体" w:hAnsi="宋体" w:eastAsia="宋体" w:cs="宋体"/>
                <w:spacing w:val="-2"/>
                <w:sz w:val="21"/>
                <w:szCs w:val="21"/>
              </w:rPr>
              <w:t>金属冶炼建设项目安全设施设计审查</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双方协商约定</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175" w:hRule="atLeast"/>
        </w:trPr>
        <w:tc>
          <w:tcPr>
            <w:tcW w:w="975" w:type="dxa"/>
            <w:vMerge w:val="continue"/>
            <w:tcBorders>
              <w:top w:val="single" w:color="000000" w:sz="4" w:space="0"/>
              <w:left w:val="single" w:color="000000" w:sz="12" w:space="0"/>
              <w:bottom w:val="single" w:color="000000" w:sz="4" w:space="0"/>
              <w:right w:val="single" w:color="000000" w:sz="4" w:space="0"/>
            </w:tcBorders>
            <w:vAlign w:val="top"/>
          </w:tcPr>
          <w:p>
            <w:pPr>
              <w:rPr>
                <w:rFonts w:ascii="Times New Roman" w:hAnsi="Times New Roman" w:eastAsia="Times New Roman" w:cs="Times New Roman"/>
                <w:spacing w:val="-1"/>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right="48" w:rightChars="0"/>
              <w:jc w:val="center"/>
              <w:textAlignment w:val="baseline"/>
              <w:rPr>
                <w:rFonts w:ascii="宋体" w:hAnsi="宋体" w:eastAsia="宋体" w:cs="宋体"/>
                <w:sz w:val="21"/>
                <w:szCs w:val="21"/>
              </w:rPr>
            </w:pPr>
            <w:r>
              <w:rPr>
                <w:rFonts w:ascii="宋体" w:hAnsi="宋体" w:eastAsia="宋体" w:cs="宋体"/>
                <w:spacing w:val="-1"/>
                <w:sz w:val="21"/>
                <w:szCs w:val="21"/>
              </w:rPr>
              <w:t>烟花爆竹建设项目安</w:t>
            </w:r>
            <w:r>
              <w:rPr>
                <w:rFonts w:ascii="宋体" w:hAnsi="宋体" w:eastAsia="宋体" w:cs="宋体"/>
                <w:spacing w:val="-2"/>
                <w:sz w:val="21"/>
                <w:szCs w:val="21"/>
              </w:rPr>
              <w:t>全设施设计审查</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宋体" w:hAnsi="宋体" w:eastAsia="宋体" w:cs="宋体"/>
                <w:spacing w:val="-2"/>
                <w:sz w:val="21"/>
                <w:szCs w:val="21"/>
              </w:rPr>
            </w:pPr>
            <w:r>
              <w:rPr>
                <w:rFonts w:ascii="宋体" w:hAnsi="宋体" w:eastAsia="宋体" w:cs="宋体"/>
                <w:spacing w:val="-2"/>
                <w:sz w:val="21"/>
                <w:szCs w:val="21"/>
              </w:rPr>
              <w:t>行政许可</w:t>
            </w:r>
          </w:p>
        </w:tc>
        <w:tc>
          <w:tcPr>
            <w:tcW w:w="77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安全生产法》（中华人民共和国主席令第七十号，2014年8月31日修改，2014年12月1日起施行）第二十九条：矿山、金属冶炼建设项目和用于生产、储存、装卸危险物品的建设项目，应当按照国家有关规定进行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年12月国家安全监管总局令第36号，2015年4月修正）第八条：生产经营单位应当委托具有相应资质的安全评价机构，对其建设项目进行安全预评价，并编制安全预评价报告。</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价格</w:t>
            </w:r>
          </w:p>
        </w:tc>
        <w:tc>
          <w:tcPr>
            <w:tcW w:w="1044" w:type="dxa"/>
            <w:tcBorders>
              <w:top w:val="single" w:color="000000" w:sz="4" w:space="0"/>
              <w:left w:val="single" w:color="000000" w:sz="4" w:space="0"/>
              <w:bottom w:val="single" w:color="000000" w:sz="4" w:space="0"/>
              <w:right w:val="single" w:color="000000" w:sz="12" w:space="0"/>
            </w:tcBorders>
            <w:vAlign w:val="center"/>
          </w:tcPr>
          <w:p>
            <w:pPr>
              <w:spacing w:before="69" w:line="239" w:lineRule="auto"/>
              <w:ind w:right="84" w:rightChars="0"/>
              <w:jc w:val="center"/>
              <w:rPr>
                <w:rFonts w:ascii="宋体" w:hAnsi="宋体" w:eastAsia="宋体" w:cs="宋体"/>
                <w:spacing w:val="-3"/>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2" w:hRule="atLeast"/>
        </w:trPr>
        <w:tc>
          <w:tcPr>
            <w:tcW w:w="1445" w:type="dxa"/>
            <w:vMerge w:val="restart"/>
            <w:tcBorders>
              <w:left w:val="single" w:color="000000" w:sz="12" w:space="0"/>
              <w:bottom w:val="nil"/>
            </w:tcBorders>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69" w:line="239" w:lineRule="auto"/>
              <w:ind w:left="502" w:right="174" w:hanging="349"/>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安全设施</w:t>
            </w:r>
            <w:r>
              <w:rPr>
                <w:rFonts w:ascii="宋体" w:hAnsi="宋体" w:eastAsia="宋体" w:cs="宋体"/>
                <w:spacing w:val="4"/>
                <w:sz w:val="21"/>
                <w:szCs w:val="21"/>
              </w:rPr>
              <w:t xml:space="preserve"> </w:t>
            </w:r>
            <w:r>
              <w:rPr>
                <w:rFonts w:ascii="宋体" w:hAnsi="宋体" w:eastAsia="宋体" w:cs="宋体"/>
                <w:spacing w:val="-3"/>
                <w:sz w:val="21"/>
                <w:szCs w:val="21"/>
              </w:rPr>
              <w:t>设计</w:t>
            </w:r>
          </w:p>
        </w:tc>
        <w:tc>
          <w:tcPr>
            <w:tcW w:w="1466" w:type="dxa"/>
            <w:vMerge w:val="restart"/>
            <w:tcBorders>
              <w:bottom w:val="nil"/>
            </w:tcBorders>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10"/>
              <w:rPr>
                <w:rFonts w:ascii="宋体" w:hAnsi="宋体" w:eastAsia="宋体" w:cs="宋体"/>
                <w:sz w:val="21"/>
                <w:szCs w:val="21"/>
              </w:rPr>
            </w:pPr>
            <w:r>
              <w:rPr>
                <w:rFonts w:ascii="宋体" w:hAnsi="宋体" w:eastAsia="宋体" w:cs="宋体"/>
                <w:spacing w:val="-7"/>
                <w:sz w:val="21"/>
                <w:szCs w:val="21"/>
              </w:rPr>
              <w:t>非煤矿矿山、金</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属冶炼建设项</w:t>
            </w:r>
          </w:p>
          <w:p>
            <w:pPr>
              <w:spacing w:before="63" w:line="184" w:lineRule="auto"/>
              <w:ind w:firstLine="47"/>
              <w:rPr>
                <w:rFonts w:ascii="宋体" w:hAnsi="宋体" w:eastAsia="宋体" w:cs="宋体"/>
                <w:sz w:val="21"/>
                <w:szCs w:val="21"/>
              </w:rPr>
            </w:pPr>
            <w:r>
              <w:rPr>
                <w:rFonts w:ascii="宋体" w:hAnsi="宋体" w:eastAsia="宋体" w:cs="宋体"/>
                <w:spacing w:val="-12"/>
                <w:sz w:val="21"/>
                <w:szCs w:val="21"/>
              </w:rPr>
              <w:t>目和生产、储存</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危险化学品、烟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花爆竹的建设</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项目安全设施</w:t>
            </w:r>
          </w:p>
          <w:p>
            <w:pPr>
              <w:spacing w:before="63" w:line="184" w:lineRule="auto"/>
              <w:ind w:firstLine="309"/>
              <w:rPr>
                <w:rFonts w:ascii="宋体" w:hAnsi="宋体" w:eastAsia="宋体" w:cs="宋体"/>
                <w:sz w:val="21"/>
                <w:szCs w:val="21"/>
              </w:rPr>
            </w:pPr>
            <w:r>
              <w:rPr>
                <w:rFonts w:ascii="宋体" w:hAnsi="宋体" w:eastAsia="宋体" w:cs="宋体"/>
                <w:spacing w:val="-3"/>
                <w:sz w:val="21"/>
                <w:szCs w:val="21"/>
              </w:rPr>
              <w:t>设计审查</w:t>
            </w:r>
          </w:p>
        </w:tc>
        <w:tc>
          <w:tcPr>
            <w:tcW w:w="1979"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8" w:line="239" w:lineRule="auto"/>
              <w:ind w:left="153" w:right="48" w:hanging="106"/>
              <w:rPr>
                <w:rFonts w:ascii="宋体" w:hAnsi="宋体" w:eastAsia="宋体" w:cs="宋体"/>
                <w:sz w:val="21"/>
                <w:szCs w:val="21"/>
              </w:rPr>
            </w:pPr>
            <w:r>
              <w:rPr>
                <w:rFonts w:ascii="宋体" w:hAnsi="宋体" w:eastAsia="宋体" w:cs="宋体"/>
                <w:spacing w:val="-2"/>
                <w:sz w:val="21"/>
                <w:szCs w:val="21"/>
              </w:rPr>
              <w:t>非煤矿矿山建设项目</w:t>
            </w:r>
            <w:r>
              <w:rPr>
                <w:rFonts w:ascii="宋体" w:hAnsi="宋体" w:eastAsia="宋体" w:cs="宋体"/>
                <w:spacing w:val="6"/>
                <w:sz w:val="21"/>
                <w:szCs w:val="21"/>
              </w:rPr>
              <w:t xml:space="preserve"> </w:t>
            </w:r>
            <w:r>
              <w:rPr>
                <w:rFonts w:ascii="宋体" w:hAnsi="宋体" w:eastAsia="宋体" w:cs="宋体"/>
                <w:spacing w:val="-2"/>
                <w:sz w:val="21"/>
                <w:szCs w:val="21"/>
              </w:rPr>
              <w:t>安全设施设计审查</w:t>
            </w:r>
          </w:p>
        </w:tc>
        <w:tc>
          <w:tcPr>
            <w:tcW w:w="1364" w:type="dxa"/>
            <w:vAlign w:val="top"/>
          </w:tcPr>
          <w:p>
            <w:pPr>
              <w:spacing w:line="278" w:lineRule="auto"/>
              <w:rPr>
                <w:rFonts w:ascii="宋体"/>
                <w:sz w:val="21"/>
              </w:rPr>
            </w:pPr>
          </w:p>
          <w:p>
            <w:pPr>
              <w:spacing w:line="278" w:lineRule="auto"/>
              <w:rPr>
                <w:rFonts w:ascii="宋体"/>
                <w:sz w:val="21"/>
              </w:rPr>
            </w:pPr>
          </w:p>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《安全生产法》（中华人民共和国主席令第七十号， 2014 年 8 月 31 日修改， 2014 年 12 月 1 日起施行） 第三十条： 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号，2015 年 4 月修正） 第十条： 生产经营单位在建设项目初步设计时，应当委托有相应资质的设计单位对 建设项目安全设施同时进行设计，编制安全设施设计。</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双方协商 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30"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9" w:type="dxa"/>
            <w:tcBorders>
              <w:bottom w:val="single" w:color="000000" w:sz="12" w:space="0"/>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9" w:line="239" w:lineRule="auto"/>
              <w:ind w:left="253" w:right="48" w:hanging="208"/>
              <w:rPr>
                <w:rFonts w:ascii="宋体" w:hAnsi="宋体" w:eastAsia="宋体" w:cs="宋体"/>
                <w:sz w:val="21"/>
                <w:szCs w:val="21"/>
              </w:rPr>
            </w:pPr>
            <w:r>
              <w:rPr>
                <w:rFonts w:ascii="宋体" w:hAnsi="宋体" w:eastAsia="宋体" w:cs="宋体"/>
                <w:spacing w:val="-2"/>
                <w:sz w:val="21"/>
                <w:szCs w:val="21"/>
              </w:rPr>
              <w:t>金属冶炼建设项目安</w:t>
            </w:r>
            <w:r>
              <w:rPr>
                <w:rFonts w:ascii="宋体" w:hAnsi="宋体" w:eastAsia="宋体" w:cs="宋体"/>
                <w:spacing w:val="8"/>
                <w:sz w:val="21"/>
                <w:szCs w:val="21"/>
              </w:rPr>
              <w:t xml:space="preserve"> </w:t>
            </w:r>
            <w:r>
              <w:rPr>
                <w:rFonts w:ascii="宋体" w:hAnsi="宋体" w:eastAsia="宋体" w:cs="宋体"/>
                <w:spacing w:val="-2"/>
                <w:sz w:val="21"/>
                <w:szCs w:val="21"/>
              </w:rPr>
              <w:t>全设施设计审查</w:t>
            </w:r>
          </w:p>
        </w:tc>
        <w:tc>
          <w:tcPr>
            <w:tcW w:w="1364" w:type="dxa"/>
            <w:tcBorders>
              <w:bottom w:val="single" w:color="000000" w:sz="12" w:space="0"/>
            </w:tcBorders>
            <w:vAlign w:val="top"/>
          </w:tcPr>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《安全生产法》（中华人民共和国主席令第七十号， 2014 年 8 月 31 日修改， 2014 年 12 月 1 日起施行） 第三十条： 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号，2015 年 4 月修正） 第十条：生产经营单位在建设项目初步设计时，应当委托有相应资质的设计单位对建设项目安全设施同时进行设计，编制安全设施设计。</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3"/>
                <w:sz w:val="21"/>
                <w:szCs w:val="21"/>
              </w:rPr>
            </w:pPr>
            <w:r>
              <w:rPr>
                <w:rFonts w:ascii="宋体" w:hAnsi="宋体" w:eastAsia="宋体" w:cs="宋体"/>
                <w:spacing w:val="-3"/>
                <w:sz w:val="21"/>
                <w:szCs w:val="21"/>
              </w:rPr>
              <w:t>双方协商 约定</w:t>
            </w:r>
          </w:p>
        </w:tc>
      </w:tr>
    </w:tbl>
    <w:p>
      <w:pPr>
        <w:rPr>
          <w:rFonts w:ascii="宋体"/>
          <w:sz w:val="21"/>
        </w:rPr>
      </w:pPr>
    </w:p>
    <w:p>
      <w:pPr>
        <w:sectPr>
          <w:footerReference r:id="rId8" w:type="default"/>
          <w:pgSz w:w="16840" w:h="11905"/>
          <w:pgMar w:top="1011" w:right="1037" w:bottom="1816"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1445" w:type="dxa"/>
            <w:vMerge w:val="restart"/>
            <w:tcBorders>
              <w:left w:val="single" w:color="000000" w:sz="12" w:space="0"/>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8" w:line="239" w:lineRule="auto"/>
              <w:ind w:left="502" w:right="174" w:hanging="349"/>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安全设施</w:t>
            </w:r>
            <w:r>
              <w:rPr>
                <w:rFonts w:ascii="宋体" w:hAnsi="宋体" w:eastAsia="宋体" w:cs="宋体"/>
                <w:spacing w:val="4"/>
                <w:sz w:val="21"/>
                <w:szCs w:val="21"/>
              </w:rPr>
              <w:t xml:space="preserve"> </w:t>
            </w:r>
            <w:r>
              <w:rPr>
                <w:rFonts w:ascii="宋体" w:hAnsi="宋体" w:eastAsia="宋体" w:cs="宋体"/>
                <w:spacing w:val="-3"/>
                <w:sz w:val="21"/>
                <w:szCs w:val="21"/>
              </w:rPr>
              <w:t>设计</w:t>
            </w:r>
          </w:p>
        </w:tc>
        <w:tc>
          <w:tcPr>
            <w:tcW w:w="1466"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before="69" w:line="184" w:lineRule="auto"/>
              <w:ind w:firstLine="10"/>
              <w:rPr>
                <w:rFonts w:ascii="宋体" w:hAnsi="宋体" w:eastAsia="宋体" w:cs="宋体"/>
                <w:sz w:val="21"/>
                <w:szCs w:val="21"/>
              </w:rPr>
            </w:pPr>
            <w:r>
              <w:rPr>
                <w:rFonts w:ascii="宋体" w:hAnsi="宋体" w:eastAsia="宋体" w:cs="宋体"/>
                <w:spacing w:val="-7"/>
                <w:sz w:val="21"/>
                <w:szCs w:val="21"/>
              </w:rPr>
              <w:t>非煤矿矿山、金</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属冶炼建设项</w:t>
            </w:r>
          </w:p>
          <w:p>
            <w:pPr>
              <w:spacing w:before="63" w:line="184" w:lineRule="auto"/>
              <w:ind w:firstLine="47"/>
              <w:rPr>
                <w:rFonts w:ascii="宋体" w:hAnsi="宋体" w:eastAsia="宋体" w:cs="宋体"/>
                <w:sz w:val="21"/>
                <w:szCs w:val="21"/>
              </w:rPr>
            </w:pPr>
            <w:r>
              <w:rPr>
                <w:rFonts w:ascii="宋体" w:hAnsi="宋体" w:eastAsia="宋体" w:cs="宋体"/>
                <w:spacing w:val="-12"/>
                <w:sz w:val="21"/>
                <w:szCs w:val="21"/>
              </w:rPr>
              <w:t>目和生产、储存</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危险化学品、烟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花爆竹的建设</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项目安全设施</w:t>
            </w:r>
          </w:p>
          <w:p>
            <w:pPr>
              <w:spacing w:before="63" w:line="184" w:lineRule="auto"/>
              <w:ind w:firstLine="309"/>
              <w:rPr>
                <w:rFonts w:ascii="宋体" w:hAnsi="宋体" w:eastAsia="宋体" w:cs="宋体"/>
                <w:sz w:val="21"/>
                <w:szCs w:val="21"/>
              </w:rPr>
            </w:pPr>
            <w:r>
              <w:rPr>
                <w:rFonts w:ascii="宋体" w:hAnsi="宋体" w:eastAsia="宋体" w:cs="宋体"/>
                <w:spacing w:val="-3"/>
                <w:sz w:val="21"/>
                <w:szCs w:val="21"/>
              </w:rPr>
              <w:t>设计审查</w:t>
            </w:r>
          </w:p>
        </w:tc>
        <w:tc>
          <w:tcPr>
            <w:tcW w:w="1979" w:type="dxa"/>
            <w:vAlign w:val="top"/>
          </w:tcPr>
          <w:p>
            <w:pPr>
              <w:spacing w:line="295" w:lineRule="auto"/>
              <w:rPr>
                <w:rFonts w:ascii="宋体"/>
                <w:sz w:val="21"/>
              </w:rPr>
            </w:pPr>
          </w:p>
          <w:p>
            <w:pPr>
              <w:spacing w:line="295" w:lineRule="auto"/>
              <w:rPr>
                <w:rFonts w:ascii="宋体"/>
                <w:sz w:val="21"/>
              </w:rPr>
            </w:pPr>
          </w:p>
          <w:p>
            <w:pPr>
              <w:spacing w:line="295" w:lineRule="auto"/>
              <w:rPr>
                <w:rFonts w:ascii="宋体"/>
                <w:sz w:val="21"/>
              </w:rPr>
            </w:pPr>
          </w:p>
          <w:p>
            <w:pPr>
              <w:spacing w:before="68" w:line="239" w:lineRule="auto"/>
              <w:ind w:left="253" w:right="48" w:hanging="211"/>
              <w:rPr>
                <w:rFonts w:ascii="宋体" w:hAnsi="宋体" w:eastAsia="宋体" w:cs="宋体"/>
                <w:sz w:val="21"/>
                <w:szCs w:val="21"/>
              </w:rPr>
            </w:pPr>
            <w:r>
              <w:rPr>
                <w:rFonts w:ascii="宋体" w:hAnsi="宋体" w:eastAsia="宋体" w:cs="宋体"/>
                <w:spacing w:val="-1"/>
                <w:sz w:val="21"/>
                <w:szCs w:val="21"/>
              </w:rPr>
              <w:t>烟花爆竹建设项目安</w:t>
            </w:r>
            <w:r>
              <w:rPr>
                <w:rFonts w:ascii="宋体" w:hAnsi="宋体" w:eastAsia="宋体" w:cs="宋体"/>
                <w:spacing w:val="2"/>
                <w:sz w:val="21"/>
                <w:szCs w:val="21"/>
              </w:rPr>
              <w:t xml:space="preserve"> </w:t>
            </w:r>
            <w:r>
              <w:rPr>
                <w:rFonts w:ascii="宋体" w:hAnsi="宋体" w:eastAsia="宋体" w:cs="宋体"/>
                <w:spacing w:val="-2"/>
                <w:sz w:val="21"/>
                <w:szCs w:val="21"/>
              </w:rPr>
              <w:t>全设施设计审查</w:t>
            </w:r>
          </w:p>
        </w:tc>
        <w:tc>
          <w:tcPr>
            <w:tcW w:w="1364" w:type="dxa"/>
            <w:vAlign w:val="center"/>
          </w:tcPr>
          <w:p>
            <w:pPr>
              <w:spacing w:before="68" w:line="239" w:lineRule="auto"/>
              <w:jc w:val="center"/>
              <w:rPr>
                <w:rFonts w:ascii="宋体" w:hAnsi="宋体" w:eastAsia="宋体" w:cs="宋体"/>
                <w:spacing w:val="-12"/>
                <w:sz w:val="21"/>
                <w:szCs w:val="21"/>
              </w:rPr>
            </w:pPr>
            <w:r>
              <w:rPr>
                <w:rFonts w:ascii="宋体" w:hAnsi="宋体" w:eastAsia="宋体" w:cs="宋体"/>
                <w:spacing w:val="-12"/>
                <w:sz w:val="21"/>
                <w:szCs w:val="21"/>
              </w:rPr>
              <w:t>行政许可</w:t>
            </w:r>
          </w:p>
        </w:tc>
        <w:tc>
          <w:tcPr>
            <w:tcW w:w="6043" w:type="dxa"/>
            <w:vAlign w:val="center"/>
          </w:tcPr>
          <w:p>
            <w:pPr>
              <w:numPr>
                <w:ilvl w:val="0"/>
                <w:numId w:val="9"/>
              </w:numPr>
              <w:spacing w:before="68" w:line="239" w:lineRule="auto"/>
              <w:ind w:left="18" w:firstLine="17"/>
              <w:jc w:val="both"/>
              <w:rPr>
                <w:rFonts w:ascii="宋体" w:hAnsi="宋体" w:eastAsia="宋体" w:cs="宋体"/>
                <w:spacing w:val="-12"/>
                <w:sz w:val="21"/>
                <w:szCs w:val="21"/>
              </w:rPr>
            </w:pPr>
            <w:r>
              <w:rPr>
                <w:rFonts w:ascii="宋体" w:hAnsi="宋体" w:eastAsia="宋体" w:cs="宋体"/>
                <w:spacing w:val="-12"/>
                <w:sz w:val="21"/>
                <w:szCs w:val="21"/>
              </w:rPr>
              <w:t xml:space="preserve">《安全生产法》（中华人民共和国主席令第七十号， 2014 年 8 月 31 日修改， 2014 年 12 月 1 日起施行） 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                              </w:t>
            </w:r>
          </w:p>
          <w:p>
            <w:pPr>
              <w:numPr>
                <w:ilvl w:val="0"/>
                <w:numId w:val="0"/>
              </w:numPr>
              <w:spacing w:before="68" w:line="239" w:lineRule="auto"/>
              <w:ind w:left="35" w:leftChars="0"/>
              <w:jc w:val="both"/>
              <w:rPr>
                <w:rFonts w:ascii="宋体" w:hAnsi="宋体" w:eastAsia="宋体" w:cs="宋体"/>
                <w:spacing w:val="-12"/>
                <w:sz w:val="21"/>
                <w:szCs w:val="21"/>
              </w:rPr>
            </w:pPr>
            <w:r>
              <w:rPr>
                <w:rFonts w:ascii="宋体" w:hAnsi="宋体" w:eastAsia="宋体" w:cs="宋体"/>
                <w:spacing w:val="-12"/>
                <w:sz w:val="21"/>
                <w:szCs w:val="21"/>
              </w:rPr>
              <w:t>2.《建设项目安全设施“三同时”监督管理办法》（2010 年 12 月 国家安全监管总局令第 36 号， 2015 年 4 月修正） 第十条：生产经营单位在建设项目初步设计时， 应当委托有相应资质的设计单位对建设项目安全设施同时进行设计，编制安全设施设计。</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2"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9" w:type="dxa"/>
            <w:tcBorders>
              <w:bottom w:val="single" w:color="000000" w:sz="1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before="69" w:line="184" w:lineRule="auto"/>
              <w:ind w:firstLine="50"/>
              <w:rPr>
                <w:rFonts w:ascii="宋体" w:hAnsi="宋体" w:eastAsia="宋体" w:cs="宋体"/>
                <w:sz w:val="21"/>
                <w:szCs w:val="21"/>
              </w:rPr>
            </w:pPr>
            <w:r>
              <w:rPr>
                <w:rFonts w:ascii="宋体" w:hAnsi="宋体" w:eastAsia="宋体" w:cs="宋体"/>
                <w:spacing w:val="-2"/>
                <w:sz w:val="21"/>
                <w:szCs w:val="21"/>
              </w:rPr>
              <w:t>生产、储存危险化学</w:t>
            </w:r>
          </w:p>
          <w:p>
            <w:pPr>
              <w:spacing w:before="63" w:line="184" w:lineRule="auto"/>
              <w:ind w:firstLine="60"/>
              <w:rPr>
                <w:rFonts w:ascii="宋体" w:hAnsi="宋体" w:eastAsia="宋体" w:cs="宋体"/>
                <w:sz w:val="21"/>
                <w:szCs w:val="21"/>
              </w:rPr>
            </w:pPr>
            <w:r>
              <w:rPr>
                <w:rFonts w:ascii="宋体" w:hAnsi="宋体" w:eastAsia="宋体" w:cs="宋体"/>
                <w:spacing w:val="-3"/>
                <w:sz w:val="21"/>
                <w:szCs w:val="21"/>
              </w:rPr>
              <w:t>品的建设项目安全设</w:t>
            </w:r>
          </w:p>
          <w:p>
            <w:pPr>
              <w:spacing w:before="63" w:line="184" w:lineRule="auto"/>
              <w:ind w:firstLine="464"/>
              <w:rPr>
                <w:rFonts w:ascii="宋体" w:hAnsi="宋体" w:eastAsia="宋体" w:cs="宋体"/>
                <w:sz w:val="21"/>
                <w:szCs w:val="21"/>
              </w:rPr>
            </w:pPr>
            <w:r>
              <w:rPr>
                <w:rFonts w:ascii="宋体" w:hAnsi="宋体" w:eastAsia="宋体" w:cs="宋体"/>
                <w:spacing w:val="-2"/>
                <w:sz w:val="21"/>
                <w:szCs w:val="21"/>
              </w:rPr>
              <w:t>施设计审查</w:t>
            </w:r>
          </w:p>
        </w:tc>
        <w:tc>
          <w:tcPr>
            <w:tcW w:w="1364" w:type="dxa"/>
            <w:tcBorders>
              <w:bottom w:val="single" w:color="000000" w:sz="12" w:space="0"/>
            </w:tcBorders>
            <w:vAlign w:val="top"/>
          </w:tcPr>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numPr>
                <w:ilvl w:val="0"/>
                <w:numId w:val="10"/>
              </w:numPr>
              <w:spacing w:before="51" w:line="226" w:lineRule="auto"/>
              <w:ind w:left="19" w:firstLine="16"/>
              <w:jc w:val="both"/>
              <w:rPr>
                <w:rFonts w:ascii="宋体" w:hAnsi="宋体" w:eastAsia="宋体" w:cs="宋体"/>
                <w:spacing w:val="-12"/>
                <w:sz w:val="21"/>
                <w:szCs w:val="21"/>
              </w:rPr>
            </w:pPr>
            <w:r>
              <w:rPr>
                <w:rFonts w:ascii="宋体" w:hAnsi="宋体" w:eastAsia="宋体" w:cs="宋体"/>
                <w:spacing w:val="-12"/>
                <w:sz w:val="21"/>
                <w:szCs w:val="21"/>
              </w:rPr>
              <w:t xml:space="preserve">《安全生产法》 （中华人民共和国主席令第七十号，2014 年 8 月 31 日修改， 2014 年 12 月 1 日起施行） 第三十条：建设项目安全设施的设计人、设计单位应当对安全设施设计负责。矿山、金属冶炼建设项目和用于生产、储存、装卸危险物品的建设项目的安全设施设计应当按照国家有关规定报经有关部门审查， 审查部门及其负责审查的人员对审查结果负责。                                </w:t>
            </w:r>
          </w:p>
          <w:p>
            <w:pPr>
              <w:numPr>
                <w:ilvl w:val="0"/>
                <w:numId w:val="0"/>
              </w:numPr>
              <w:spacing w:before="51" w:line="226" w:lineRule="auto"/>
              <w:ind w:left="35" w:leftChars="0"/>
              <w:jc w:val="both"/>
              <w:rPr>
                <w:rFonts w:ascii="宋体" w:hAnsi="宋体" w:eastAsia="宋体" w:cs="宋体"/>
                <w:sz w:val="21"/>
                <w:szCs w:val="21"/>
              </w:rPr>
            </w:pPr>
            <w:r>
              <w:rPr>
                <w:rFonts w:ascii="宋体" w:hAnsi="宋体" w:eastAsia="宋体" w:cs="宋体"/>
                <w:spacing w:val="-12"/>
                <w:sz w:val="21"/>
                <w:szCs w:val="21"/>
              </w:rPr>
              <w:t xml:space="preserve">2.《建设项目安全设施“三同时”监督管理办法》（2010 年 12 月 国家安全监管总局令第 36 号，2015 年 4 月修正） 第十条： 产经 营单位在建设项目初步设计时，应当委托有相应资质的设计单位对 建设项目安全设施同时进行设计，编制安全设施设计。  </w:t>
            </w:r>
          </w:p>
          <w:p>
            <w:pPr>
              <w:numPr>
                <w:ilvl w:val="0"/>
                <w:numId w:val="0"/>
              </w:numPr>
              <w:spacing w:before="51" w:line="226" w:lineRule="auto"/>
              <w:ind w:left="35" w:leftChars="0"/>
              <w:jc w:val="both"/>
              <w:rPr>
                <w:rFonts w:ascii="宋体" w:hAnsi="宋体" w:eastAsia="宋体" w:cs="宋体"/>
                <w:sz w:val="21"/>
                <w:szCs w:val="21"/>
              </w:rPr>
            </w:pPr>
            <w:r>
              <w:rPr>
                <w:rFonts w:ascii="宋体" w:hAnsi="宋体" w:eastAsia="宋体" w:cs="宋体"/>
                <w:spacing w:val="-12"/>
                <w:sz w:val="21"/>
                <w:szCs w:val="21"/>
              </w:rPr>
              <w:t>3.《危险化学品建设项目安全监督管理办法》 （2012 年 1 月国家安 全监管总局令第 45 号，2015 年 5 月修改） 第十五条：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 险化学品建设项目安全设施设计专篇编制导则》的要求。</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1411"/>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500"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754"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500" w:type="dxa"/>
            <w:vMerge w:val="continue"/>
            <w:tcBorders>
              <w:top w:val="nil"/>
              <w:left w:val="single" w:color="000000" w:sz="12" w:space="0"/>
            </w:tcBorders>
            <w:vAlign w:val="top"/>
          </w:tcPr>
          <w:p>
            <w:pPr>
              <w:rPr>
                <w:rFonts w:ascii="宋体"/>
                <w:sz w:val="21"/>
              </w:rPr>
            </w:pPr>
          </w:p>
        </w:tc>
        <w:tc>
          <w:tcPr>
            <w:tcW w:w="1411"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1500" w:type="dxa"/>
            <w:tcBorders>
              <w:left w:val="single" w:color="000000" w:sz="12" w:space="0"/>
            </w:tcBorders>
            <w:vAlign w:val="center"/>
          </w:tcPr>
          <w:p>
            <w:pPr>
              <w:spacing w:before="69" w:line="239" w:lineRule="auto"/>
              <w:ind w:right="174"/>
              <w:jc w:val="center"/>
              <w:rPr>
                <w:rFonts w:ascii="宋体" w:hAnsi="宋体" w:eastAsia="宋体" w:cs="宋体"/>
                <w:sz w:val="21"/>
                <w:szCs w:val="21"/>
              </w:rPr>
            </w:pPr>
            <w:r>
              <w:rPr>
                <w:rFonts w:ascii="Times New Roman" w:hAnsi="Times New Roman" w:eastAsia="Times New Roman" w:cs="Times New Roman"/>
                <w:spacing w:val="-1"/>
                <w:sz w:val="21"/>
                <w:szCs w:val="21"/>
              </w:rPr>
              <w:t>2</w:t>
            </w:r>
            <w:r>
              <w:rPr>
                <w:rFonts w:hint="eastAsia" w:ascii="Times New Roman" w:hAnsi="Times New Roman" w:eastAsia="宋体" w:cs="Times New Roman"/>
                <w:spacing w:val="-1"/>
                <w:sz w:val="21"/>
                <w:szCs w:val="21"/>
                <w:lang w:val="en-US" w:eastAsia="zh-CN"/>
              </w:rPr>
              <w:t>6</w:t>
            </w:r>
            <w:r>
              <w:rPr>
                <w:rFonts w:ascii="Times New Roman" w:hAnsi="Times New Roman" w:eastAsia="Times New Roman" w:cs="Times New Roman"/>
                <w:spacing w:val="-1"/>
                <w:sz w:val="21"/>
                <w:szCs w:val="21"/>
              </w:rPr>
              <w:t>.</w:t>
            </w:r>
            <w:r>
              <w:rPr>
                <w:rFonts w:ascii="宋体" w:hAnsi="宋体" w:eastAsia="宋体" w:cs="宋体"/>
                <w:spacing w:val="-1"/>
                <w:sz w:val="21"/>
                <w:szCs w:val="21"/>
              </w:rPr>
              <w:t>技术评价</w:t>
            </w:r>
            <w:r>
              <w:rPr>
                <w:rFonts w:ascii="宋体" w:hAnsi="宋体" w:eastAsia="宋体" w:cs="宋体"/>
                <w:spacing w:val="4"/>
                <w:sz w:val="21"/>
                <w:szCs w:val="21"/>
              </w:rPr>
              <w:t xml:space="preserve"> </w:t>
            </w:r>
            <w:r>
              <w:rPr>
                <w:rFonts w:ascii="宋体" w:hAnsi="宋体" w:eastAsia="宋体" w:cs="宋体"/>
                <w:spacing w:val="-2"/>
                <w:sz w:val="21"/>
                <w:szCs w:val="21"/>
              </w:rPr>
              <w:t>报告</w:t>
            </w:r>
          </w:p>
        </w:tc>
        <w:tc>
          <w:tcPr>
            <w:tcW w:w="1411" w:type="dxa"/>
            <w:vAlign w:val="center"/>
          </w:tcPr>
          <w:p>
            <w:pPr>
              <w:spacing w:before="69" w:line="239" w:lineRule="auto"/>
              <w:ind w:right="113"/>
              <w:jc w:val="center"/>
              <w:rPr>
                <w:rFonts w:ascii="宋体" w:hAnsi="宋体" w:eastAsia="宋体" w:cs="宋体"/>
                <w:sz w:val="21"/>
                <w:szCs w:val="21"/>
              </w:rPr>
            </w:pPr>
            <w:r>
              <w:rPr>
                <w:rFonts w:ascii="宋体" w:hAnsi="宋体" w:eastAsia="宋体" w:cs="宋体"/>
                <w:spacing w:val="-2"/>
                <w:sz w:val="21"/>
                <w:szCs w:val="21"/>
              </w:rPr>
              <w:t>涉路工程建设许可</w:t>
            </w:r>
          </w:p>
        </w:tc>
        <w:tc>
          <w:tcPr>
            <w:tcW w:w="1979"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spacing w:before="51" w:line="226" w:lineRule="auto"/>
              <w:ind w:left="19" w:firstLine="16"/>
              <w:jc w:val="both"/>
              <w:rPr>
                <w:rFonts w:ascii="宋体" w:hAnsi="宋体" w:eastAsia="宋体" w:cs="宋体"/>
                <w:spacing w:val="-12"/>
                <w:sz w:val="21"/>
                <w:szCs w:val="21"/>
              </w:rPr>
            </w:pPr>
            <w:r>
              <w:rPr>
                <w:rFonts w:ascii="宋体" w:hAnsi="宋体" w:eastAsia="宋体" w:cs="宋体"/>
                <w:spacing w:val="-12"/>
                <w:sz w:val="21"/>
                <w:szCs w:val="21"/>
              </w:rPr>
              <w:t>1. 《公路安全保护条例》第二十八条： 申请进行涉路施工活动的建设单位应当向公路管理机构提交下列材料： （一）符合有关技术标准、规范要求的设计和施工方案； （二 保障公路、公路附属设施 质量和安全的技术评价报告； （三）处置施工险情和意外事故的应急方案。</w:t>
            </w:r>
          </w:p>
          <w:p>
            <w:pPr>
              <w:spacing w:before="51" w:line="226" w:lineRule="auto"/>
              <w:ind w:left="19" w:firstLine="16"/>
              <w:jc w:val="both"/>
              <w:rPr>
                <w:rFonts w:ascii="宋体" w:hAnsi="宋体" w:eastAsia="宋体" w:cs="宋体"/>
                <w:sz w:val="21"/>
                <w:szCs w:val="21"/>
              </w:rPr>
            </w:pPr>
            <w:r>
              <w:rPr>
                <w:rFonts w:ascii="宋体" w:hAnsi="宋体" w:eastAsia="宋体" w:cs="宋体"/>
                <w:spacing w:val="-12"/>
                <w:sz w:val="21"/>
                <w:szCs w:val="21"/>
              </w:rPr>
              <w:t>2. 《山东省涉路工程建设技术评价实施办法》第六条： 涉路工程建 设单位应当委托涉路工程项目设计单位以外具有公路专业设计资 质及公路专业工程咨询业务能力的单位开展技术评价， 其中重大涉 路工程项目，技术评价单位应具备公路专业甲级设计资质及相应的 公路专业工程咨询业务能力。</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5" w:hRule="atLeast"/>
        </w:trPr>
        <w:tc>
          <w:tcPr>
            <w:tcW w:w="1500" w:type="dxa"/>
            <w:tcBorders>
              <w:left w:val="single" w:color="000000" w:sz="12" w:space="0"/>
              <w:bottom w:val="single" w:color="000000" w:sz="12" w:space="0"/>
            </w:tcBorders>
            <w:vAlign w:val="center"/>
          </w:tcPr>
          <w:p>
            <w:pPr>
              <w:spacing w:before="68" w:line="184" w:lineRule="auto"/>
              <w:jc w:val="center"/>
              <w:rPr>
                <w:rFonts w:ascii="宋体" w:hAnsi="宋体" w:eastAsia="宋体" w:cs="宋体"/>
                <w:sz w:val="21"/>
                <w:szCs w:val="21"/>
              </w:rPr>
            </w:pPr>
            <w:r>
              <w:rPr>
                <w:rFonts w:hint="eastAsia" w:ascii="Times New Roman" w:hAnsi="Times New Roman" w:eastAsia="宋体" w:cs="Times New Roman"/>
                <w:spacing w:val="-2"/>
                <w:sz w:val="21"/>
                <w:szCs w:val="21"/>
                <w:lang w:val="en-US" w:eastAsia="zh-CN"/>
              </w:rPr>
              <w:t>27</w:t>
            </w:r>
            <w:r>
              <w:rPr>
                <w:rFonts w:ascii="Times New Roman" w:hAnsi="Times New Roman" w:eastAsia="Times New Roman" w:cs="Times New Roman"/>
                <w:spacing w:val="-2"/>
                <w:sz w:val="21"/>
                <w:szCs w:val="21"/>
              </w:rPr>
              <w:t>.</w:t>
            </w:r>
            <w:r>
              <w:rPr>
                <w:rFonts w:ascii="Times New Roman" w:hAnsi="Times New Roman" w:eastAsia="Times New Roman" w:cs="Times New Roman"/>
                <w:spacing w:val="6"/>
                <w:sz w:val="21"/>
                <w:szCs w:val="21"/>
              </w:rPr>
              <w:t xml:space="preserve"> </w:t>
            </w:r>
            <w:r>
              <w:rPr>
                <w:rFonts w:ascii="宋体" w:hAnsi="宋体" w:eastAsia="宋体" w:cs="宋体"/>
                <w:spacing w:val="-2"/>
                <w:sz w:val="21"/>
                <w:szCs w:val="21"/>
              </w:rPr>
              <w:t>施工图设计</w:t>
            </w:r>
          </w:p>
          <w:p>
            <w:pPr>
              <w:spacing w:before="61" w:line="184" w:lineRule="auto"/>
              <w:jc w:val="center"/>
              <w:rPr>
                <w:rFonts w:ascii="宋体" w:hAnsi="宋体" w:eastAsia="宋体" w:cs="宋体"/>
                <w:sz w:val="21"/>
                <w:szCs w:val="21"/>
              </w:rPr>
            </w:pPr>
            <w:r>
              <w:rPr>
                <w:rFonts w:ascii="宋体" w:hAnsi="宋体" w:eastAsia="宋体" w:cs="宋体"/>
                <w:spacing w:val="-2"/>
                <w:sz w:val="21"/>
                <w:szCs w:val="21"/>
              </w:rPr>
              <w:t>文件审查</w:t>
            </w:r>
            <w:r>
              <w:rPr>
                <w:rFonts w:ascii="宋体" w:hAnsi="宋体" w:eastAsia="宋体" w:cs="宋体"/>
                <w:spacing w:val="-3"/>
                <w:sz w:val="21"/>
                <w:szCs w:val="21"/>
              </w:rPr>
              <w:t>合格书</w:t>
            </w:r>
          </w:p>
        </w:tc>
        <w:tc>
          <w:tcPr>
            <w:tcW w:w="1411" w:type="dxa"/>
            <w:tcBorders>
              <w:bottom w:val="single" w:color="000000" w:sz="12" w:space="0"/>
            </w:tcBorders>
            <w:vAlign w:val="center"/>
          </w:tcPr>
          <w:p>
            <w:pPr>
              <w:spacing w:before="68" w:line="238" w:lineRule="auto"/>
              <w:ind w:right="113"/>
              <w:jc w:val="center"/>
              <w:rPr>
                <w:rFonts w:ascii="宋体" w:hAnsi="宋体" w:eastAsia="宋体" w:cs="宋体"/>
                <w:sz w:val="21"/>
                <w:szCs w:val="21"/>
              </w:rPr>
            </w:pPr>
            <w:r>
              <w:rPr>
                <w:rFonts w:ascii="宋体" w:hAnsi="宋体" w:eastAsia="宋体" w:cs="宋体"/>
                <w:spacing w:val="-2"/>
                <w:sz w:val="21"/>
                <w:szCs w:val="21"/>
              </w:rPr>
              <w:t>建筑工程施工</w:t>
            </w:r>
            <w:r>
              <w:rPr>
                <w:rFonts w:ascii="宋体" w:hAnsi="宋体" w:eastAsia="宋体" w:cs="宋体"/>
                <w:spacing w:val="2"/>
                <w:sz w:val="21"/>
                <w:szCs w:val="21"/>
              </w:rPr>
              <w:t xml:space="preserve"> </w:t>
            </w:r>
            <w:r>
              <w:rPr>
                <w:rFonts w:ascii="宋体" w:hAnsi="宋体" w:eastAsia="宋体" w:cs="宋体"/>
                <w:spacing w:val="-2"/>
                <w:sz w:val="21"/>
                <w:szCs w:val="21"/>
              </w:rPr>
              <w:t>许可</w:t>
            </w:r>
          </w:p>
        </w:tc>
        <w:tc>
          <w:tcPr>
            <w:tcW w:w="1979"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numPr>
                <w:ilvl w:val="0"/>
                <w:numId w:val="0"/>
              </w:numPr>
              <w:spacing w:before="68" w:line="237" w:lineRule="auto"/>
              <w:jc w:val="both"/>
              <w:rPr>
                <w:rFonts w:ascii="宋体" w:hAnsi="宋体" w:eastAsia="宋体" w:cs="宋体"/>
                <w:spacing w:val="-12"/>
                <w:sz w:val="21"/>
                <w:szCs w:val="21"/>
              </w:rPr>
            </w:pPr>
            <w:r>
              <w:rPr>
                <w:rFonts w:hint="eastAsia" w:ascii="宋体" w:hAnsi="宋体" w:eastAsia="宋体" w:cs="宋体"/>
                <w:spacing w:val="-12"/>
                <w:sz w:val="21"/>
                <w:szCs w:val="21"/>
                <w:lang w:val="en-US" w:eastAsia="zh-CN"/>
              </w:rPr>
              <w:t>1.</w:t>
            </w:r>
            <w:r>
              <w:rPr>
                <w:rFonts w:ascii="宋体" w:hAnsi="宋体" w:eastAsia="宋体" w:cs="宋体"/>
                <w:spacing w:val="-12"/>
                <w:sz w:val="21"/>
                <w:szCs w:val="21"/>
              </w:rPr>
              <w:t xml:space="preserve">《中华人民共和国建筑法》（ 1997 年 11 月 1 日第八届全国人民 代表大会常务委员会第二十八次会议通过根据 2011 年 4 月 22 日第 十一届全国人民代表大会常务委员会第二十次会议《关于修改〈中华人民共和国建筑法〉的决定》修正）第七条：建筑工程开工前，建设单位应当按照国家有关规定向工程所在地县级以上人民政府  建设行政主管部门申请领取施工许可证。                      </w:t>
            </w:r>
          </w:p>
          <w:p>
            <w:pPr>
              <w:numPr>
                <w:ilvl w:val="0"/>
                <w:numId w:val="0"/>
              </w:numPr>
              <w:spacing w:before="68" w:line="237" w:lineRule="auto"/>
              <w:ind w:left="35" w:leftChars="0"/>
              <w:jc w:val="both"/>
              <w:rPr>
                <w:rFonts w:ascii="宋体" w:hAnsi="宋体" w:eastAsia="宋体" w:cs="宋体"/>
                <w:sz w:val="21"/>
                <w:szCs w:val="21"/>
              </w:rPr>
            </w:pPr>
            <w:r>
              <w:rPr>
                <w:rFonts w:ascii="宋体" w:hAnsi="宋体" w:eastAsia="宋体" w:cs="宋体"/>
                <w:spacing w:val="-12"/>
                <w:sz w:val="21"/>
                <w:szCs w:val="21"/>
              </w:rPr>
              <w:t>2. 《建筑工程施工许可管理办法》（住房和城乡建设部令第 18 号）第二条：在中华人民共和国境内从事各类房屋建筑及其附属设施的 建造、装修装饰和与其配套的线路、管道、设备的安装，以及城镇  市政基础设施工程的施工，建设单位在开工前应当依照本办法的规  定，向工程所在地的县级以上地方人民政府住房城乡建设主管部门  申请领取施工许可证。</w:t>
            </w:r>
          </w:p>
        </w:tc>
        <w:tc>
          <w:tcPr>
            <w:tcW w:w="1389" w:type="dxa"/>
            <w:tcBorders>
              <w:bottom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92"/>
              <w:rPr>
                <w:rFonts w:ascii="宋体" w:hAnsi="宋体" w:eastAsia="宋体" w:cs="宋体"/>
                <w:sz w:val="21"/>
                <w:szCs w:val="21"/>
              </w:rPr>
            </w:pPr>
            <w:r>
              <w:rPr>
                <w:rFonts w:ascii="宋体" w:hAnsi="宋体" w:eastAsia="宋体" w:cs="宋体"/>
                <w:spacing w:val="-2"/>
                <w:sz w:val="21"/>
                <w:szCs w:val="21"/>
              </w:rPr>
              <w:t>政府购买</w:t>
            </w:r>
          </w:p>
        </w:tc>
        <w:tc>
          <w:tcPr>
            <w:tcW w:w="1053" w:type="dxa"/>
            <w:tcBorders>
              <w:bottom w:val="single" w:color="000000" w:sz="12" w:space="0"/>
              <w:right w:val="single" w:color="000000" w:sz="12" w:space="0"/>
            </w:tcBorders>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before="61" w:line="276" w:lineRule="exact"/>
              <w:ind w:firstLine="31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r>
    </w:tbl>
    <w:p>
      <w:pPr>
        <w:rPr>
          <w:rFonts w:ascii="宋体"/>
          <w:sz w:val="21"/>
        </w:rPr>
      </w:pPr>
    </w:p>
    <w:p>
      <w:pPr>
        <w:sectPr>
          <w:footerReference r:id="rId9"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1445" w:type="dxa"/>
            <w:tcBorders>
              <w:left w:val="single" w:color="000000" w:sz="12" w:space="0"/>
            </w:tcBorders>
            <w:vAlign w:val="center"/>
          </w:tcPr>
          <w:p>
            <w:pPr>
              <w:spacing w:before="68" w:line="184" w:lineRule="auto"/>
              <w:ind w:firstLine="53"/>
              <w:jc w:val="center"/>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28</w:t>
            </w:r>
            <w:r>
              <w:rPr>
                <w:rFonts w:ascii="Times New Roman" w:hAnsi="Times New Roman" w:eastAsia="Times New Roman" w:cs="Times New Roman"/>
                <w:spacing w:val="-1"/>
                <w:sz w:val="21"/>
                <w:szCs w:val="21"/>
              </w:rPr>
              <w:t>.</w:t>
            </w:r>
            <w:r>
              <w:rPr>
                <w:rFonts w:ascii="宋体" w:hAnsi="宋体" w:eastAsia="宋体" w:cs="宋体"/>
                <w:spacing w:val="-1"/>
                <w:sz w:val="21"/>
                <w:szCs w:val="21"/>
              </w:rPr>
              <w:t>特殊建设工</w:t>
            </w:r>
          </w:p>
          <w:p>
            <w:pPr>
              <w:spacing w:before="63" w:line="184" w:lineRule="auto"/>
              <w:ind w:firstLine="78"/>
              <w:jc w:val="center"/>
              <w:rPr>
                <w:rFonts w:ascii="宋体" w:hAnsi="宋体" w:eastAsia="宋体" w:cs="宋体"/>
                <w:sz w:val="21"/>
                <w:szCs w:val="21"/>
              </w:rPr>
            </w:pPr>
            <w:r>
              <w:rPr>
                <w:rFonts w:ascii="宋体" w:hAnsi="宋体" w:eastAsia="宋体" w:cs="宋体"/>
                <w:spacing w:val="-2"/>
                <w:sz w:val="21"/>
                <w:szCs w:val="21"/>
              </w:rPr>
              <w:t>程消防设计技</w:t>
            </w:r>
          </w:p>
          <w:p>
            <w:pPr>
              <w:spacing w:before="63" w:line="184" w:lineRule="auto"/>
              <w:ind w:firstLine="395"/>
              <w:jc w:val="left"/>
              <w:rPr>
                <w:rFonts w:ascii="宋体" w:hAnsi="宋体" w:eastAsia="宋体" w:cs="宋体"/>
                <w:sz w:val="21"/>
                <w:szCs w:val="21"/>
              </w:rPr>
            </w:pPr>
            <w:r>
              <w:rPr>
                <w:rFonts w:ascii="宋体" w:hAnsi="宋体" w:eastAsia="宋体" w:cs="宋体"/>
                <w:spacing w:val="-3"/>
                <w:sz w:val="21"/>
                <w:szCs w:val="21"/>
              </w:rPr>
              <w:t>术审查</w:t>
            </w:r>
          </w:p>
        </w:tc>
        <w:tc>
          <w:tcPr>
            <w:tcW w:w="1466" w:type="dxa"/>
            <w:vAlign w:val="center"/>
          </w:tcPr>
          <w:p>
            <w:pPr>
              <w:spacing w:before="69" w:line="239" w:lineRule="auto"/>
              <w:ind w:left="214" w:right="113" w:hanging="117"/>
              <w:jc w:val="center"/>
              <w:rPr>
                <w:rFonts w:ascii="宋体" w:hAnsi="宋体" w:eastAsia="宋体" w:cs="宋体"/>
                <w:sz w:val="21"/>
                <w:szCs w:val="21"/>
              </w:rPr>
            </w:pPr>
            <w:r>
              <w:rPr>
                <w:rFonts w:ascii="宋体" w:hAnsi="宋体" w:eastAsia="宋体" w:cs="宋体"/>
                <w:spacing w:val="-2"/>
                <w:sz w:val="21"/>
                <w:szCs w:val="21"/>
              </w:rPr>
              <w:t>建设工程的消</w:t>
            </w:r>
            <w:r>
              <w:rPr>
                <w:rFonts w:ascii="宋体" w:hAnsi="宋体" w:eastAsia="宋体" w:cs="宋体"/>
                <w:spacing w:val="2"/>
                <w:sz w:val="21"/>
                <w:szCs w:val="21"/>
              </w:rPr>
              <w:t xml:space="preserve"> </w:t>
            </w:r>
            <w:r>
              <w:rPr>
                <w:rFonts w:ascii="宋体" w:hAnsi="宋体" w:eastAsia="宋体" w:cs="宋体"/>
                <w:spacing w:val="-4"/>
                <w:sz w:val="21"/>
                <w:szCs w:val="21"/>
              </w:rPr>
              <w:t>防设计审查</w:t>
            </w:r>
          </w:p>
        </w:tc>
        <w:tc>
          <w:tcPr>
            <w:tcW w:w="1979" w:type="dxa"/>
            <w:vAlign w:val="center"/>
          </w:tcPr>
          <w:p>
            <w:pPr>
              <w:spacing w:before="68" w:line="184" w:lineRule="auto"/>
              <w:jc w:val="center"/>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numPr>
                <w:ilvl w:val="0"/>
                <w:numId w:val="11"/>
              </w:numPr>
              <w:spacing w:before="69" w:line="237" w:lineRule="auto"/>
              <w:ind w:left="-20" w:leftChars="0" w:right="2" w:firstLine="20" w:firstLineChars="0"/>
              <w:jc w:val="both"/>
              <w:rPr>
                <w:rFonts w:ascii="宋体" w:hAnsi="宋体" w:eastAsia="宋体" w:cs="宋体"/>
                <w:spacing w:val="-12"/>
                <w:sz w:val="21"/>
                <w:szCs w:val="21"/>
              </w:rPr>
            </w:pPr>
            <w:r>
              <w:rPr>
                <w:rFonts w:ascii="宋体" w:hAnsi="宋体" w:eastAsia="宋体" w:cs="宋体"/>
                <w:spacing w:val="-12"/>
                <w:sz w:val="21"/>
                <w:szCs w:val="21"/>
              </w:rPr>
              <w:t>《消防法》（ 1998 年 4 月通过， 2019 年 4 月修正）第十一条国务院住房和城乡建设主管部门规定的特殊建设工程，建设单位应当将消防设计文件报送住房和城乡建设主管部门审查，住房和城乡建设主管部门依法对审查的结果负责。</w:t>
            </w:r>
          </w:p>
          <w:p>
            <w:pPr>
              <w:numPr>
                <w:ilvl w:val="0"/>
                <w:numId w:val="11"/>
              </w:numPr>
              <w:spacing w:before="69" w:line="237" w:lineRule="auto"/>
              <w:ind w:left="-20" w:leftChars="0" w:right="2" w:rightChars="0" w:firstLine="20" w:firstLineChars="0"/>
              <w:jc w:val="both"/>
              <w:rPr>
                <w:rFonts w:ascii="宋体" w:hAnsi="宋体" w:eastAsia="宋体" w:cs="宋体"/>
                <w:spacing w:val="-12"/>
                <w:sz w:val="21"/>
                <w:szCs w:val="21"/>
              </w:rPr>
            </w:pPr>
            <w:r>
              <w:rPr>
                <w:rFonts w:ascii="宋体" w:hAnsi="宋体" w:eastAsia="宋体" w:cs="宋体"/>
                <w:spacing w:val="-12"/>
                <w:sz w:val="21"/>
                <w:szCs w:val="21"/>
              </w:rPr>
              <w:t>《建设工程消防设计审查验收管理暂行规定》对特殊建设工程实 行消防设计审查制度。特殊建设工程的建设单位应当向消防设计审 查验收主管部门申请消防设计审查， 消防设计审查验收主管部门依 法对审查的结果负责。特殊建设工程未经消防设计审查或者审查不 合格的，建设单位、施工单位不得施工。</w:t>
            </w:r>
          </w:p>
          <w:p>
            <w:pPr>
              <w:numPr>
                <w:ilvl w:val="0"/>
                <w:numId w:val="0"/>
              </w:numPr>
              <w:spacing w:before="69" w:line="237" w:lineRule="auto"/>
              <w:ind w:left="36" w:leftChars="0" w:right="2" w:rightChars="0"/>
              <w:jc w:val="both"/>
              <w:rPr>
                <w:rFonts w:ascii="宋体" w:hAnsi="宋体" w:eastAsia="宋体" w:cs="宋体"/>
                <w:sz w:val="21"/>
                <w:szCs w:val="21"/>
              </w:rPr>
            </w:pPr>
            <w:r>
              <w:rPr>
                <w:rFonts w:ascii="宋体" w:hAnsi="宋体" w:eastAsia="宋体" w:cs="宋体"/>
                <w:spacing w:val="-12"/>
                <w:sz w:val="21"/>
                <w:szCs w:val="21"/>
              </w:rPr>
              <w:t>3. 《建设工程消防设计审查验收工作细则》第十二条： 消防设计审查验收主管部门可以委托具备相应能力的技术服务机构开展特殊建设工程消防设计技术审查，并形成意见或者报告，作为出具特殊建设工程消防设计审查意见的依据。</w:t>
            </w:r>
          </w:p>
        </w:tc>
        <w:tc>
          <w:tcPr>
            <w:tcW w:w="1389" w:type="dxa"/>
            <w:vAlign w:val="center"/>
          </w:tcPr>
          <w:p>
            <w:pPr>
              <w:spacing w:before="61" w:line="276" w:lineRule="exact"/>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c>
          <w:tcPr>
            <w:tcW w:w="1053" w:type="dxa"/>
            <w:tcBorders>
              <w:right w:val="single" w:color="000000" w:sz="12" w:space="0"/>
            </w:tcBorders>
            <w:vAlign w:val="center"/>
          </w:tcPr>
          <w:p>
            <w:pPr>
              <w:spacing w:before="61" w:line="276" w:lineRule="exact"/>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29" w:hRule="atLeast"/>
        </w:trPr>
        <w:tc>
          <w:tcPr>
            <w:tcW w:w="1445" w:type="dxa"/>
            <w:tcBorders>
              <w:left w:val="single" w:color="000000" w:sz="12" w:space="0"/>
              <w:bottom w:val="single" w:color="000000" w:sz="12" w:space="0"/>
            </w:tcBorders>
            <w:vAlign w:val="center"/>
          </w:tcPr>
          <w:p>
            <w:pPr>
              <w:spacing w:before="69" w:line="184" w:lineRule="auto"/>
              <w:ind w:firstLine="53"/>
              <w:jc w:val="center"/>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29</w:t>
            </w:r>
            <w:r>
              <w:rPr>
                <w:rFonts w:ascii="Times New Roman" w:hAnsi="Times New Roman" w:eastAsia="Times New Roman" w:cs="Times New Roman"/>
                <w:spacing w:val="-1"/>
                <w:sz w:val="21"/>
                <w:szCs w:val="21"/>
              </w:rPr>
              <w:t>.</w:t>
            </w:r>
            <w:r>
              <w:rPr>
                <w:rFonts w:ascii="宋体" w:hAnsi="宋体" w:eastAsia="宋体" w:cs="宋体"/>
                <w:spacing w:val="-1"/>
                <w:sz w:val="21"/>
                <w:szCs w:val="21"/>
              </w:rPr>
              <w:t>项目建议书</w:t>
            </w:r>
          </w:p>
        </w:tc>
        <w:tc>
          <w:tcPr>
            <w:tcW w:w="1466" w:type="dxa"/>
            <w:tcBorders>
              <w:bottom w:val="single" w:color="000000" w:sz="12" w:space="0"/>
            </w:tcBorders>
            <w:vAlign w:val="center"/>
          </w:tcPr>
          <w:p>
            <w:pPr>
              <w:spacing w:before="69" w:line="238" w:lineRule="auto"/>
              <w:ind w:left="202" w:right="113" w:hanging="106"/>
              <w:jc w:val="center"/>
              <w:rPr>
                <w:rFonts w:ascii="宋体" w:hAnsi="宋体" w:eastAsia="宋体" w:cs="宋体"/>
                <w:sz w:val="21"/>
                <w:szCs w:val="21"/>
              </w:rPr>
            </w:pPr>
            <w:r>
              <w:rPr>
                <w:rFonts w:ascii="宋体" w:hAnsi="宋体" w:eastAsia="宋体" w:cs="宋体"/>
                <w:spacing w:val="-2"/>
                <w:sz w:val="21"/>
                <w:szCs w:val="21"/>
              </w:rPr>
              <w:t>政府投资项目</w:t>
            </w:r>
            <w:r>
              <w:rPr>
                <w:rFonts w:ascii="宋体" w:hAnsi="宋体" w:eastAsia="宋体" w:cs="宋体"/>
                <w:spacing w:val="2"/>
                <w:sz w:val="21"/>
                <w:szCs w:val="21"/>
              </w:rPr>
              <w:t xml:space="preserve"> </w:t>
            </w:r>
            <w:r>
              <w:rPr>
                <w:rFonts w:ascii="宋体" w:hAnsi="宋体" w:eastAsia="宋体" w:cs="宋体"/>
                <w:spacing w:val="-2"/>
                <w:sz w:val="21"/>
                <w:szCs w:val="21"/>
              </w:rPr>
              <w:t>建议书审批</w:t>
            </w:r>
          </w:p>
        </w:tc>
        <w:tc>
          <w:tcPr>
            <w:tcW w:w="1979" w:type="dxa"/>
            <w:tcBorders>
              <w:bottom w:val="single" w:color="000000" w:sz="12" w:space="0"/>
            </w:tcBorders>
            <w:vAlign w:val="center"/>
          </w:tcPr>
          <w:p>
            <w:pPr>
              <w:spacing w:before="69"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9" w:line="184" w:lineRule="auto"/>
              <w:ind w:firstLine="265"/>
              <w:jc w:val="both"/>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center"/>
          </w:tcPr>
          <w:p>
            <w:pPr>
              <w:spacing w:before="68" w:line="239" w:lineRule="auto"/>
              <w:ind w:left="20"/>
              <w:jc w:val="both"/>
              <w:rPr>
                <w:rFonts w:ascii="宋体" w:hAnsi="宋体" w:eastAsia="宋体" w:cs="宋体"/>
                <w:sz w:val="21"/>
                <w:szCs w:val="21"/>
              </w:rPr>
            </w:pPr>
            <w:r>
              <w:rPr>
                <w:rFonts w:ascii="宋体" w:hAnsi="宋体" w:eastAsia="宋体" w:cs="宋体"/>
                <w:spacing w:val="-12"/>
                <w:sz w:val="21"/>
                <w:szCs w:val="21"/>
              </w:rPr>
              <w:t>《政府投资条例》（国务院第</w:t>
            </w:r>
            <w:r>
              <w:rPr>
                <w:rFonts w:ascii="宋体" w:hAnsi="宋体" w:eastAsia="宋体" w:cs="宋体"/>
                <w:spacing w:val="-30"/>
                <w:sz w:val="21"/>
                <w:szCs w:val="21"/>
              </w:rPr>
              <w:t xml:space="preserve"> </w:t>
            </w:r>
            <w:r>
              <w:rPr>
                <w:rFonts w:ascii="Times New Roman" w:hAnsi="Times New Roman" w:eastAsia="Times New Roman" w:cs="Times New Roman"/>
                <w:spacing w:val="-12"/>
                <w:sz w:val="21"/>
                <w:szCs w:val="21"/>
              </w:rPr>
              <w:t>712</w:t>
            </w:r>
            <w:r>
              <w:rPr>
                <w:rFonts w:ascii="Times New Roman" w:hAnsi="Times New Roman" w:eastAsia="Times New Roman" w:cs="Times New Roman"/>
                <w:spacing w:val="14"/>
                <w:w w:val="101"/>
                <w:sz w:val="21"/>
                <w:szCs w:val="21"/>
              </w:rPr>
              <w:t xml:space="preserve"> </w:t>
            </w:r>
            <w:r>
              <w:rPr>
                <w:rFonts w:ascii="宋体" w:hAnsi="宋体" w:eastAsia="宋体" w:cs="宋体"/>
                <w:spacing w:val="-12"/>
                <w:sz w:val="21"/>
                <w:szCs w:val="21"/>
              </w:rPr>
              <w:t>号令）</w:t>
            </w:r>
            <w:r>
              <w:rPr>
                <w:rFonts w:ascii="宋体" w:hAnsi="宋体" w:eastAsia="宋体" w:cs="宋体"/>
                <w:spacing w:val="-8"/>
                <w:sz w:val="21"/>
                <w:szCs w:val="21"/>
              </w:rPr>
              <w:t xml:space="preserve"> </w:t>
            </w:r>
            <w:r>
              <w:rPr>
                <w:rFonts w:ascii="宋体" w:hAnsi="宋体" w:eastAsia="宋体" w:cs="宋体"/>
                <w:spacing w:val="-12"/>
                <w:sz w:val="21"/>
                <w:szCs w:val="21"/>
              </w:rPr>
              <w:t>第九条：政府采取直接投</w:t>
            </w:r>
            <w:r>
              <w:rPr>
                <w:rFonts w:ascii="宋体" w:hAnsi="宋体" w:eastAsia="宋体" w:cs="宋体"/>
                <w:sz w:val="21"/>
                <w:szCs w:val="21"/>
              </w:rPr>
              <w:t xml:space="preserve"> </w:t>
            </w:r>
            <w:r>
              <w:rPr>
                <w:rFonts w:ascii="宋体" w:hAnsi="宋体" w:eastAsia="宋体" w:cs="宋体"/>
                <w:spacing w:val="-3"/>
                <w:sz w:val="21"/>
                <w:szCs w:val="21"/>
              </w:rPr>
              <w:t>资方式、资本金注入方式投资的项目（以下统称政府投资项目</w:t>
            </w:r>
            <w:r>
              <w:rPr>
                <w:rFonts w:ascii="宋体" w:hAnsi="宋体" w:eastAsia="宋体" w:cs="宋体"/>
                <w:spacing w:val="4"/>
                <w:sz w:val="21"/>
                <w:szCs w:val="21"/>
              </w:rPr>
              <w:t>），</w:t>
            </w:r>
            <w:r>
              <w:rPr>
                <w:rFonts w:ascii="宋体" w:hAnsi="宋体" w:eastAsia="宋体" w:cs="宋体"/>
                <w:sz w:val="21"/>
                <w:szCs w:val="21"/>
              </w:rPr>
              <w:t xml:space="preserve"> </w:t>
            </w:r>
            <w:r>
              <w:rPr>
                <w:rFonts w:ascii="宋体" w:hAnsi="宋体" w:eastAsia="宋体" w:cs="宋体"/>
                <w:spacing w:val="-8"/>
                <w:sz w:val="21"/>
                <w:szCs w:val="21"/>
              </w:rPr>
              <w:t>项目单位应当编制项目建议书、可行性研究报告、初步设计，按照</w:t>
            </w:r>
            <w:r>
              <w:rPr>
                <w:rFonts w:ascii="宋体" w:hAnsi="宋体" w:eastAsia="宋体" w:cs="宋体"/>
                <w:sz w:val="21"/>
                <w:szCs w:val="21"/>
              </w:rPr>
              <w:t xml:space="preserve"> </w:t>
            </w:r>
            <w:r>
              <w:rPr>
                <w:rFonts w:ascii="宋体" w:hAnsi="宋体" w:eastAsia="宋体" w:cs="宋体"/>
                <w:spacing w:val="-7"/>
                <w:sz w:val="21"/>
                <w:szCs w:val="21"/>
              </w:rPr>
              <w:t>政府投资管理权限和规定的程序，报投资主管部门或者其他有关部</w:t>
            </w:r>
            <w:r>
              <w:rPr>
                <w:rFonts w:ascii="宋体" w:hAnsi="宋体" w:eastAsia="宋体" w:cs="宋体"/>
                <w:sz w:val="21"/>
                <w:szCs w:val="21"/>
              </w:rPr>
              <w:t xml:space="preserve"> </w:t>
            </w:r>
            <w:r>
              <w:rPr>
                <w:rFonts w:ascii="宋体" w:hAnsi="宋体" w:eastAsia="宋体" w:cs="宋体"/>
                <w:spacing w:val="-8"/>
                <w:sz w:val="21"/>
                <w:szCs w:val="21"/>
              </w:rPr>
              <w:t>门审批。</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51"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9" w:hRule="atLeast"/>
        </w:trPr>
        <w:tc>
          <w:tcPr>
            <w:tcW w:w="1445" w:type="dxa"/>
            <w:tcBorders>
              <w:left w:val="single" w:color="000000" w:sz="12" w:space="0"/>
            </w:tcBorders>
            <w:vAlign w:val="top"/>
          </w:tcPr>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8" w:line="239" w:lineRule="auto"/>
              <w:ind w:left="286" w:right="70" w:hanging="233"/>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0</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项目可行性</w:t>
            </w:r>
            <w:r>
              <w:rPr>
                <w:rFonts w:ascii="宋体" w:hAnsi="宋体" w:eastAsia="宋体" w:cs="宋体"/>
                <w:spacing w:val="7"/>
                <w:sz w:val="21"/>
                <w:szCs w:val="21"/>
              </w:rPr>
              <w:t xml:space="preserve"> </w:t>
            </w:r>
            <w:r>
              <w:rPr>
                <w:rFonts w:ascii="宋体" w:hAnsi="宋体" w:eastAsia="宋体" w:cs="宋体"/>
                <w:spacing w:val="-2"/>
                <w:sz w:val="21"/>
                <w:szCs w:val="21"/>
              </w:rPr>
              <w:t>研究报告</w:t>
            </w:r>
          </w:p>
        </w:tc>
        <w:tc>
          <w:tcPr>
            <w:tcW w:w="1466"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政府投资项目</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可行性研究报</w:t>
            </w:r>
          </w:p>
          <w:p>
            <w:pPr>
              <w:spacing w:before="63" w:line="184" w:lineRule="auto"/>
              <w:ind w:firstLine="416"/>
              <w:rPr>
                <w:rFonts w:ascii="宋体" w:hAnsi="宋体" w:eastAsia="宋体" w:cs="宋体"/>
                <w:sz w:val="21"/>
                <w:szCs w:val="21"/>
              </w:rPr>
            </w:pPr>
            <w:r>
              <w:rPr>
                <w:rFonts w:ascii="宋体" w:hAnsi="宋体" w:eastAsia="宋体" w:cs="宋体"/>
                <w:spacing w:val="-3"/>
                <w:sz w:val="21"/>
                <w:szCs w:val="21"/>
              </w:rPr>
              <w:t>告审批</w:t>
            </w:r>
          </w:p>
        </w:tc>
        <w:tc>
          <w:tcPr>
            <w:tcW w:w="1979"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vAlign w:val="center"/>
          </w:tcPr>
          <w:p>
            <w:pPr>
              <w:spacing w:before="68" w:line="239" w:lineRule="auto"/>
              <w:ind w:left="20"/>
              <w:jc w:val="both"/>
              <w:rPr>
                <w:rFonts w:ascii="宋体" w:hAnsi="宋体" w:eastAsia="宋体" w:cs="宋体"/>
                <w:spacing w:val="-3"/>
                <w:sz w:val="21"/>
                <w:szCs w:val="21"/>
              </w:rPr>
            </w:pPr>
            <w:r>
              <w:rPr>
                <w:rFonts w:ascii="宋体" w:hAnsi="宋体" w:eastAsia="宋体" w:cs="宋体"/>
                <w:spacing w:val="-3"/>
                <w:sz w:val="21"/>
                <w:szCs w:val="21"/>
              </w:rPr>
              <w:t>1. 《政府投资条例》（国务院第 712 号令） 第九条： 政府采取直接 投资方式、资本金注入方式投资的项目（以下统称政府投资项目），项目单位应当编制项目建议书、可行性研究报告、初步设计，按照政府投资管理权限和规定的程序，报投资主管部门或者其他有关部门审批。</w:t>
            </w:r>
          </w:p>
          <w:p>
            <w:pPr>
              <w:spacing w:before="68" w:line="239" w:lineRule="auto"/>
              <w:ind w:left="20"/>
              <w:jc w:val="both"/>
              <w:rPr>
                <w:rFonts w:ascii="宋体" w:hAnsi="宋体" w:eastAsia="宋体" w:cs="宋体"/>
                <w:spacing w:val="-3"/>
                <w:sz w:val="21"/>
                <w:szCs w:val="21"/>
              </w:rPr>
            </w:pPr>
            <w:r>
              <w:rPr>
                <w:rFonts w:ascii="宋体" w:hAnsi="宋体" w:eastAsia="宋体" w:cs="宋体"/>
                <w:spacing w:val="-3"/>
                <w:sz w:val="21"/>
                <w:szCs w:val="21"/>
              </w:rPr>
              <w:t>2. 《山东省政府投资管理办法》（鲁政字〔2020〕232  号）第十三条： 项目建议书经批准后，项目单位应当按照相关规范要求，组织编制可行性研究报告，对项目在技术和经济上的可行性以及社会效益、节能、资源开发及综合利用、生态环境影响， 以及法律、法规要求在可行性研究阶段进行评价的事项等进行全面分析论证，并对项目资金等主要建设条件的落实情况作出说明。</w:t>
            </w:r>
          </w:p>
          <w:p>
            <w:pPr>
              <w:spacing w:before="68" w:line="239" w:lineRule="auto"/>
              <w:ind w:left="20"/>
              <w:jc w:val="both"/>
              <w:rPr>
                <w:rFonts w:ascii="宋体" w:hAnsi="宋体" w:eastAsia="宋体" w:cs="宋体"/>
                <w:sz w:val="21"/>
                <w:szCs w:val="21"/>
              </w:rPr>
            </w:pPr>
            <w:r>
              <w:rPr>
                <w:rFonts w:ascii="宋体" w:hAnsi="宋体" w:eastAsia="宋体" w:cs="宋体"/>
                <w:spacing w:val="-3"/>
                <w:sz w:val="21"/>
                <w:szCs w:val="21"/>
              </w:rPr>
              <w:t>第二十一条：中介服务机构或单位与编制项目可行性研究报告、初 步设计或投资概算的中介服务机构或单位为同一单位、存在控股、 管理关系或者负责人为同一人的，该中介服务机构或单位不得承担 该项目的评估评审工作。中介服务机构或单位与项目单位存在控股、管理关系或者负责人为同一人的，该中介服务机构或单位不得 承担该项目的评估评审工作。</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1445" w:type="dxa"/>
            <w:tcBorders>
              <w:left w:val="single" w:color="000000" w:sz="12" w:space="0"/>
              <w:bottom w:val="single" w:color="000000" w:sz="12" w:space="0"/>
            </w:tcBorders>
            <w:vAlign w:val="top"/>
          </w:tcPr>
          <w:p>
            <w:pPr>
              <w:spacing w:line="339" w:lineRule="auto"/>
              <w:rPr>
                <w:rFonts w:ascii="宋体"/>
                <w:sz w:val="21"/>
              </w:rPr>
            </w:pPr>
          </w:p>
          <w:p>
            <w:pPr>
              <w:spacing w:line="340" w:lineRule="auto"/>
              <w:rPr>
                <w:rFonts w:ascii="宋体"/>
                <w:sz w:val="21"/>
              </w:rPr>
            </w:pPr>
          </w:p>
          <w:p>
            <w:pPr>
              <w:spacing w:before="68" w:line="239" w:lineRule="auto"/>
              <w:ind w:left="188" w:right="70" w:hanging="135"/>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1</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项目社会稳</w:t>
            </w:r>
            <w:r>
              <w:rPr>
                <w:rFonts w:ascii="宋体" w:hAnsi="宋体" w:eastAsia="宋体" w:cs="宋体"/>
                <w:spacing w:val="7"/>
                <w:sz w:val="21"/>
                <w:szCs w:val="21"/>
              </w:rPr>
              <w:t xml:space="preserve"> </w:t>
            </w:r>
            <w:r>
              <w:rPr>
                <w:rFonts w:ascii="宋体" w:hAnsi="宋体" w:eastAsia="宋体" w:cs="宋体"/>
                <w:spacing w:val="-3"/>
                <w:sz w:val="21"/>
                <w:szCs w:val="21"/>
              </w:rPr>
              <w:t>定风险评估</w:t>
            </w:r>
          </w:p>
        </w:tc>
        <w:tc>
          <w:tcPr>
            <w:tcW w:w="1466" w:type="dxa"/>
            <w:tcBorders>
              <w:bottom w:val="single" w:color="000000" w:sz="12" w:space="0"/>
            </w:tcBorders>
            <w:vAlign w:val="top"/>
          </w:tcPr>
          <w:p>
            <w:pPr>
              <w:spacing w:before="294" w:line="184" w:lineRule="auto"/>
              <w:ind w:firstLine="96"/>
              <w:rPr>
                <w:rFonts w:ascii="宋体" w:hAnsi="宋体" w:eastAsia="宋体" w:cs="宋体"/>
                <w:sz w:val="21"/>
                <w:szCs w:val="21"/>
              </w:rPr>
            </w:pPr>
            <w:r>
              <w:rPr>
                <w:rFonts w:ascii="宋体" w:hAnsi="宋体" w:eastAsia="宋体" w:cs="宋体"/>
                <w:spacing w:val="-2"/>
                <w:sz w:val="21"/>
                <w:szCs w:val="21"/>
              </w:rPr>
              <w:t>政府投资项目</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可行性研究报</w:t>
            </w:r>
          </w:p>
          <w:p>
            <w:pPr>
              <w:spacing w:before="26" w:line="241" w:lineRule="auto"/>
              <w:ind w:firstLine="72"/>
              <w:rPr>
                <w:rFonts w:ascii="宋体" w:hAnsi="宋体" w:eastAsia="宋体" w:cs="宋体"/>
                <w:sz w:val="21"/>
                <w:szCs w:val="21"/>
              </w:rPr>
            </w:pPr>
            <w:r>
              <w:rPr>
                <w:rFonts w:ascii="宋体" w:hAnsi="宋体" w:eastAsia="宋体" w:cs="宋体"/>
                <w:spacing w:val="-2"/>
                <w:sz w:val="21"/>
                <w:szCs w:val="21"/>
              </w:rPr>
              <w:t>告审批</w:t>
            </w:r>
            <w:r>
              <w:rPr>
                <w:rFonts w:ascii="Times New Roman" w:hAnsi="Times New Roman" w:eastAsia="Times New Roman" w:cs="Times New Roman"/>
                <w:spacing w:val="-2"/>
                <w:sz w:val="21"/>
                <w:szCs w:val="21"/>
              </w:rPr>
              <w:t>/</w:t>
            </w:r>
            <w:r>
              <w:rPr>
                <w:rFonts w:ascii="宋体" w:hAnsi="宋体" w:eastAsia="宋体" w:cs="宋体"/>
                <w:spacing w:val="-2"/>
                <w:sz w:val="21"/>
                <w:szCs w:val="21"/>
              </w:rPr>
              <w:t>企业投</w:t>
            </w:r>
          </w:p>
          <w:p>
            <w:pPr>
              <w:spacing w:line="241" w:lineRule="auto"/>
              <w:ind w:firstLine="75"/>
              <w:rPr>
                <w:rFonts w:ascii="宋体" w:hAnsi="宋体" w:eastAsia="宋体" w:cs="宋体"/>
                <w:sz w:val="21"/>
                <w:szCs w:val="21"/>
              </w:rPr>
            </w:pPr>
            <w:r>
              <w:rPr>
                <w:rFonts w:ascii="宋体" w:hAnsi="宋体" w:eastAsia="宋体" w:cs="宋体"/>
                <w:spacing w:val="-3"/>
                <w:sz w:val="21"/>
                <w:szCs w:val="21"/>
              </w:rPr>
              <w:t>资项目核准</w:t>
            </w:r>
            <w:r>
              <w:rPr>
                <w:rFonts w:ascii="Times New Roman" w:hAnsi="Times New Roman" w:eastAsia="Times New Roman" w:cs="Times New Roman"/>
                <w:spacing w:val="-3"/>
                <w:sz w:val="21"/>
                <w:szCs w:val="21"/>
              </w:rPr>
              <w:t>/</w:t>
            </w:r>
            <w:r>
              <w:rPr>
                <w:rFonts w:ascii="宋体" w:hAnsi="宋体" w:eastAsia="宋体" w:cs="宋体"/>
                <w:spacing w:val="-3"/>
                <w:sz w:val="21"/>
                <w:szCs w:val="21"/>
              </w:rPr>
              <w:t>企</w:t>
            </w:r>
          </w:p>
          <w:p>
            <w:pPr>
              <w:spacing w:before="33" w:line="184" w:lineRule="auto"/>
              <w:ind w:firstLine="95"/>
              <w:rPr>
                <w:rFonts w:ascii="宋体" w:hAnsi="宋体" w:eastAsia="宋体" w:cs="宋体"/>
                <w:sz w:val="21"/>
                <w:szCs w:val="21"/>
              </w:rPr>
            </w:pPr>
            <w:r>
              <w:rPr>
                <w:rFonts w:ascii="宋体" w:hAnsi="宋体" w:eastAsia="宋体" w:cs="宋体"/>
                <w:spacing w:val="-2"/>
                <w:sz w:val="21"/>
                <w:szCs w:val="21"/>
              </w:rPr>
              <w:t>业技术改造投</w:t>
            </w:r>
          </w:p>
          <w:p>
            <w:pPr>
              <w:spacing w:before="63" w:line="184" w:lineRule="auto"/>
              <w:ind w:firstLine="209"/>
              <w:rPr>
                <w:rFonts w:ascii="宋体" w:hAnsi="宋体" w:eastAsia="宋体" w:cs="宋体"/>
                <w:sz w:val="21"/>
                <w:szCs w:val="21"/>
              </w:rPr>
            </w:pPr>
            <w:r>
              <w:rPr>
                <w:rFonts w:ascii="宋体" w:hAnsi="宋体" w:eastAsia="宋体" w:cs="宋体"/>
                <w:spacing w:val="-3"/>
                <w:sz w:val="21"/>
                <w:szCs w:val="21"/>
              </w:rPr>
              <w:t>资项目核准</w:t>
            </w:r>
          </w:p>
        </w:tc>
        <w:tc>
          <w:tcPr>
            <w:tcW w:w="1979" w:type="dxa"/>
            <w:tcBorders>
              <w:bottom w:val="single" w:color="000000" w:sz="12" w:space="0"/>
            </w:tcBorders>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323" w:lineRule="auto"/>
              <w:rPr>
                <w:rFonts w:ascii="宋体"/>
                <w:sz w:val="21"/>
              </w:rPr>
            </w:pPr>
          </w:p>
          <w:p>
            <w:pPr>
              <w:spacing w:line="323" w:lineRule="auto"/>
              <w:rPr>
                <w:rFonts w:ascii="宋体"/>
                <w:sz w:val="21"/>
              </w:rPr>
            </w:pPr>
          </w:p>
          <w:p>
            <w:pPr>
              <w:spacing w:before="68" w:line="241" w:lineRule="auto"/>
              <w:ind w:left="27" w:right="20"/>
              <w:rPr>
                <w:rFonts w:ascii="宋体" w:hAnsi="宋体" w:eastAsia="宋体" w:cs="宋体"/>
                <w:sz w:val="21"/>
                <w:szCs w:val="21"/>
              </w:rPr>
            </w:pPr>
            <w:r>
              <w:rPr>
                <w:rFonts w:ascii="宋体" w:hAnsi="宋体" w:eastAsia="宋体" w:cs="宋体"/>
                <w:spacing w:val="-1"/>
                <w:sz w:val="21"/>
                <w:szCs w:val="21"/>
              </w:rPr>
              <w:t>其他权力</w:t>
            </w:r>
            <w:r>
              <w:rPr>
                <w:rFonts w:ascii="Times New Roman" w:hAnsi="Times New Roman" w:eastAsia="Times New Roman" w:cs="Times New Roman"/>
                <w:spacing w:val="-1"/>
                <w:sz w:val="21"/>
                <w:szCs w:val="21"/>
              </w:rPr>
              <w:t>/</w:t>
            </w:r>
            <w:r>
              <w:rPr>
                <w:rFonts w:ascii="宋体" w:hAnsi="宋体" w:eastAsia="宋体" w:cs="宋体"/>
                <w:spacing w:val="-1"/>
                <w:sz w:val="21"/>
                <w:szCs w:val="21"/>
              </w:rPr>
              <w:t>行政</w:t>
            </w:r>
            <w:r>
              <w:rPr>
                <w:rFonts w:ascii="宋体" w:hAnsi="宋体" w:eastAsia="宋体" w:cs="宋体"/>
                <w:sz w:val="21"/>
                <w:szCs w:val="21"/>
              </w:rPr>
              <w:t xml:space="preserve"> </w:t>
            </w:r>
            <w:r>
              <w:rPr>
                <w:rFonts w:ascii="宋体" w:hAnsi="宋体" w:eastAsia="宋体" w:cs="宋体"/>
                <w:spacing w:val="-1"/>
                <w:sz w:val="21"/>
                <w:szCs w:val="21"/>
              </w:rPr>
              <w:t>许可</w:t>
            </w:r>
            <w:r>
              <w:rPr>
                <w:rFonts w:ascii="Times New Roman" w:hAnsi="Times New Roman" w:eastAsia="Times New Roman" w:cs="Times New Roman"/>
                <w:spacing w:val="-1"/>
                <w:sz w:val="21"/>
                <w:szCs w:val="21"/>
              </w:rPr>
              <w:t>/</w:t>
            </w:r>
            <w:r>
              <w:rPr>
                <w:rFonts w:ascii="宋体" w:hAnsi="宋体" w:eastAsia="宋体" w:cs="宋体"/>
                <w:spacing w:val="-1"/>
                <w:sz w:val="21"/>
                <w:szCs w:val="21"/>
              </w:rPr>
              <w:t>行政许可</w:t>
            </w:r>
          </w:p>
        </w:tc>
        <w:tc>
          <w:tcPr>
            <w:tcW w:w="6043" w:type="dxa"/>
            <w:tcBorders>
              <w:bottom w:val="single" w:color="000000" w:sz="12" w:space="0"/>
            </w:tcBorders>
            <w:vAlign w:val="top"/>
          </w:tcPr>
          <w:p>
            <w:pPr>
              <w:spacing w:before="138" w:line="246" w:lineRule="auto"/>
              <w:ind w:left="18" w:right="2" w:hanging="7"/>
              <w:jc w:val="both"/>
              <w:rPr>
                <w:rFonts w:ascii="宋体" w:hAnsi="宋体" w:eastAsia="宋体" w:cs="宋体"/>
                <w:sz w:val="21"/>
                <w:szCs w:val="21"/>
              </w:rPr>
            </w:pPr>
            <w:r>
              <w:rPr>
                <w:rFonts w:ascii="仿宋" w:hAnsi="仿宋" w:eastAsia="仿宋" w:cs="仿宋"/>
                <w:spacing w:val="5"/>
                <w:sz w:val="21"/>
                <w:szCs w:val="21"/>
              </w:rPr>
              <w:t>《</w:t>
            </w:r>
            <w:r>
              <w:rPr>
                <w:rFonts w:ascii="宋体" w:hAnsi="宋体" w:eastAsia="宋体" w:cs="宋体"/>
                <w:spacing w:val="5"/>
                <w:sz w:val="21"/>
                <w:szCs w:val="21"/>
              </w:rPr>
              <w:t>山东省发展改革委重大固定资产投资项目社会稳定风险评估暂</w:t>
            </w:r>
            <w:r>
              <w:rPr>
                <w:rFonts w:ascii="宋体" w:hAnsi="宋体" w:eastAsia="宋体" w:cs="宋体"/>
                <w:spacing w:val="1"/>
                <w:sz w:val="21"/>
                <w:szCs w:val="21"/>
              </w:rPr>
              <w:t xml:space="preserve"> </w:t>
            </w:r>
            <w:r>
              <w:rPr>
                <w:rFonts w:ascii="宋体" w:hAnsi="宋体" w:eastAsia="宋体" w:cs="宋体"/>
                <w:spacing w:val="-10"/>
                <w:sz w:val="21"/>
                <w:szCs w:val="21"/>
              </w:rPr>
              <w:t>行办法》（鲁发改投资〔</w:t>
            </w:r>
            <w:r>
              <w:rPr>
                <w:rFonts w:ascii="Times New Roman" w:hAnsi="Times New Roman" w:eastAsia="Times New Roman" w:cs="Times New Roman"/>
                <w:spacing w:val="-10"/>
                <w:sz w:val="21"/>
                <w:szCs w:val="21"/>
              </w:rPr>
              <w:t>2014</w:t>
            </w:r>
            <w:r>
              <w:rPr>
                <w:rFonts w:ascii="宋体" w:hAnsi="宋体" w:eastAsia="宋体" w:cs="宋体"/>
                <w:spacing w:val="-10"/>
                <w:sz w:val="21"/>
                <w:szCs w:val="21"/>
              </w:rPr>
              <w:t>〕</w:t>
            </w:r>
            <w:r>
              <w:rPr>
                <w:rFonts w:ascii="Times New Roman" w:hAnsi="Times New Roman" w:eastAsia="Times New Roman" w:cs="Times New Roman"/>
                <w:spacing w:val="-10"/>
                <w:sz w:val="21"/>
                <w:szCs w:val="21"/>
              </w:rPr>
              <w:t>471</w:t>
            </w:r>
            <w:r>
              <w:rPr>
                <w:rFonts w:ascii="Times New Roman" w:hAnsi="Times New Roman" w:eastAsia="Times New Roman" w:cs="Times New Roman"/>
                <w:spacing w:val="39"/>
                <w:w w:val="101"/>
                <w:sz w:val="21"/>
                <w:szCs w:val="21"/>
              </w:rPr>
              <w:t xml:space="preserve"> </w:t>
            </w:r>
            <w:r>
              <w:rPr>
                <w:rFonts w:ascii="宋体" w:hAnsi="宋体" w:eastAsia="宋体" w:cs="宋体"/>
                <w:spacing w:val="-10"/>
                <w:sz w:val="21"/>
                <w:szCs w:val="21"/>
              </w:rPr>
              <w:t>号）</w:t>
            </w:r>
            <w:r>
              <w:rPr>
                <w:rFonts w:ascii="宋体" w:hAnsi="宋体" w:eastAsia="宋体" w:cs="宋体"/>
                <w:spacing w:val="6"/>
                <w:sz w:val="21"/>
                <w:szCs w:val="21"/>
              </w:rPr>
              <w:t xml:space="preserve"> </w:t>
            </w:r>
            <w:r>
              <w:rPr>
                <w:rFonts w:ascii="宋体" w:hAnsi="宋体" w:eastAsia="宋体" w:cs="宋体"/>
                <w:spacing w:val="-10"/>
                <w:sz w:val="21"/>
                <w:szCs w:val="21"/>
              </w:rPr>
              <w:t>第六条：社会稳定风险分</w:t>
            </w:r>
            <w:r>
              <w:rPr>
                <w:rFonts w:ascii="宋体" w:hAnsi="宋体" w:eastAsia="宋体" w:cs="宋体"/>
                <w:sz w:val="21"/>
                <w:szCs w:val="21"/>
              </w:rPr>
              <w:t xml:space="preserve"> </w:t>
            </w:r>
            <w:r>
              <w:rPr>
                <w:rFonts w:ascii="宋体" w:hAnsi="宋体" w:eastAsia="宋体" w:cs="宋体"/>
                <w:spacing w:val="4"/>
                <w:sz w:val="21"/>
                <w:szCs w:val="21"/>
              </w:rPr>
              <w:t>析篇章或报告应由项目单位委托具备相应行业乙级或以上工程咨</w:t>
            </w:r>
            <w:r>
              <w:rPr>
                <w:rFonts w:ascii="宋体" w:hAnsi="宋体" w:eastAsia="宋体" w:cs="宋体"/>
                <w:spacing w:val="22"/>
                <w:sz w:val="21"/>
                <w:szCs w:val="21"/>
              </w:rPr>
              <w:t xml:space="preserve"> </w:t>
            </w:r>
            <w:r>
              <w:rPr>
                <w:rFonts w:ascii="宋体" w:hAnsi="宋体" w:eastAsia="宋体" w:cs="宋体"/>
                <w:spacing w:val="-7"/>
                <w:sz w:val="21"/>
                <w:szCs w:val="21"/>
              </w:rPr>
              <w:t>询资质的机构，按照国家发展改革委《重大固定资产投资项目社会</w:t>
            </w:r>
            <w:r>
              <w:rPr>
                <w:rFonts w:ascii="宋体" w:hAnsi="宋体" w:eastAsia="宋体" w:cs="宋体"/>
                <w:sz w:val="21"/>
                <w:szCs w:val="21"/>
              </w:rPr>
              <w:t xml:space="preserve"> </w:t>
            </w:r>
            <w:r>
              <w:rPr>
                <w:rFonts w:ascii="宋体" w:hAnsi="宋体" w:eastAsia="宋体" w:cs="宋体"/>
                <w:spacing w:val="-7"/>
                <w:sz w:val="21"/>
                <w:szCs w:val="21"/>
              </w:rPr>
              <w:t>稳定风险分析篇章编制大纲及说明（试行）》进行编制，包括编制</w:t>
            </w:r>
            <w:r>
              <w:rPr>
                <w:rFonts w:ascii="宋体" w:hAnsi="宋体" w:eastAsia="宋体" w:cs="宋体"/>
                <w:sz w:val="21"/>
                <w:szCs w:val="21"/>
              </w:rPr>
              <w:t xml:space="preserve"> </w:t>
            </w:r>
            <w:r>
              <w:rPr>
                <w:rFonts w:ascii="宋体" w:hAnsi="宋体" w:eastAsia="宋体" w:cs="宋体"/>
                <w:spacing w:val="-3"/>
                <w:sz w:val="21"/>
                <w:szCs w:val="21"/>
              </w:rPr>
              <w:t>依据、风险调查、风险识别、风险估计、风险防范和化解措施、风</w:t>
            </w:r>
            <w:r>
              <w:rPr>
                <w:rFonts w:ascii="宋体" w:hAnsi="宋体" w:eastAsia="宋体" w:cs="宋体"/>
                <w:spacing w:val="13"/>
                <w:sz w:val="21"/>
                <w:szCs w:val="21"/>
              </w:rPr>
              <w:t xml:space="preserve"> </w:t>
            </w:r>
            <w:r>
              <w:rPr>
                <w:rFonts w:ascii="宋体" w:hAnsi="宋体" w:eastAsia="宋体" w:cs="宋体"/>
                <w:spacing w:val="-3"/>
                <w:sz w:val="21"/>
                <w:szCs w:val="21"/>
              </w:rPr>
              <w:t>险等级、风险分析结论等内容。</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44" w:lineRule="exact"/>
        <w:rPr>
          <w:rFonts w:ascii="宋体"/>
          <w:sz w:val="19"/>
        </w:rPr>
      </w:pPr>
    </w:p>
    <w:p>
      <w:pPr>
        <w:sectPr>
          <w:footerReference r:id="rId10" w:type="default"/>
          <w:pgSz w:w="16840" w:h="11905"/>
          <w:pgMar w:top="1011" w:right="1037" w:bottom="1823"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center"/>
          </w:tcPr>
          <w:p>
            <w:pPr>
              <w:spacing w:before="277" w:line="239" w:lineRule="auto"/>
              <w:ind w:left="501" w:right="96" w:hanging="401"/>
              <w:jc w:val="left"/>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445" w:type="dxa"/>
            <w:vMerge w:val="continue"/>
            <w:tcBorders>
              <w:top w:val="nil"/>
              <w:left w:val="single" w:color="000000" w:sz="12" w:space="0"/>
            </w:tcBorders>
            <w:vAlign w:val="center"/>
          </w:tcPr>
          <w:p>
            <w:pPr>
              <w:jc w:val="cente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7" w:hRule="atLeast"/>
        </w:trPr>
        <w:tc>
          <w:tcPr>
            <w:tcW w:w="1445" w:type="dxa"/>
            <w:tcBorders>
              <w:left w:val="single" w:color="000000" w:sz="12" w:space="0"/>
              <w:bottom w:val="single" w:color="000000" w:sz="12" w:space="0"/>
            </w:tcBorders>
            <w:vAlign w:val="center"/>
          </w:tcPr>
          <w:p>
            <w:pPr>
              <w:spacing w:before="68" w:line="239" w:lineRule="auto"/>
              <w:ind w:right="70"/>
              <w:jc w:val="center"/>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2</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项目初步设</w:t>
            </w:r>
            <w:r>
              <w:rPr>
                <w:rFonts w:ascii="宋体" w:hAnsi="宋体" w:eastAsia="宋体" w:cs="宋体"/>
                <w:spacing w:val="7"/>
                <w:sz w:val="21"/>
                <w:szCs w:val="21"/>
              </w:rPr>
              <w:t xml:space="preserve"> </w:t>
            </w:r>
            <w:r>
              <w:rPr>
                <w:rFonts w:ascii="宋体" w:hAnsi="宋体" w:eastAsia="宋体" w:cs="宋体"/>
                <w:spacing w:val="-2"/>
                <w:sz w:val="21"/>
                <w:szCs w:val="21"/>
              </w:rPr>
              <w:t>计概算编制</w:t>
            </w:r>
          </w:p>
        </w:tc>
        <w:tc>
          <w:tcPr>
            <w:tcW w:w="1466" w:type="dxa"/>
            <w:tcBorders>
              <w:bottom w:val="single" w:color="000000" w:sz="12" w:space="0"/>
            </w:tcBorders>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政府投资项目</w:t>
            </w:r>
          </w:p>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初步设计概算</w:t>
            </w:r>
          </w:p>
          <w:p>
            <w:pPr>
              <w:spacing w:before="69" w:line="184" w:lineRule="auto"/>
              <w:jc w:val="center"/>
              <w:rPr>
                <w:rFonts w:ascii="宋体" w:hAnsi="宋体" w:eastAsia="宋体" w:cs="宋体"/>
                <w:sz w:val="21"/>
                <w:szCs w:val="21"/>
              </w:rPr>
            </w:pPr>
            <w:r>
              <w:rPr>
                <w:rFonts w:ascii="宋体" w:hAnsi="宋体" w:eastAsia="宋体" w:cs="宋体"/>
                <w:spacing w:val="-4"/>
                <w:sz w:val="21"/>
                <w:szCs w:val="21"/>
              </w:rPr>
              <w:t>审批</w:t>
            </w:r>
          </w:p>
        </w:tc>
        <w:tc>
          <w:tcPr>
            <w:tcW w:w="1977"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top"/>
          </w:tcPr>
          <w:p>
            <w:pPr>
              <w:spacing w:line="276" w:lineRule="auto"/>
              <w:rPr>
                <w:rFonts w:ascii="宋体"/>
                <w:sz w:val="21"/>
              </w:rPr>
            </w:pPr>
          </w:p>
          <w:p>
            <w:pPr>
              <w:spacing w:before="138" w:line="246" w:lineRule="auto"/>
              <w:ind w:left="18" w:right="2" w:hanging="7"/>
              <w:jc w:val="both"/>
              <w:rPr>
                <w:rFonts w:ascii="宋体" w:hAnsi="宋体" w:eastAsia="宋体" w:cs="宋体"/>
                <w:spacing w:val="-7"/>
                <w:sz w:val="21"/>
                <w:szCs w:val="21"/>
              </w:rPr>
            </w:pPr>
            <w:r>
              <w:rPr>
                <w:rFonts w:ascii="宋体" w:hAnsi="宋体" w:eastAsia="宋体" w:cs="宋体"/>
                <w:spacing w:val="-7"/>
                <w:sz w:val="21"/>
                <w:szCs w:val="21"/>
              </w:rPr>
              <w:t>1.  《政府投资条例》（国务院第 712 号令） 第九条：政府采取直接投资方式、资本金注入方式投资的项目（以下统称政府投资项目），项目单位应当编制项目建议书、可行性研究报告、初步设计， 按照政府投资管理权限和规定的程序，报投资主管部门或者其他有关部门审批。</w:t>
            </w:r>
          </w:p>
          <w:p>
            <w:pPr>
              <w:spacing w:before="138" w:line="246" w:lineRule="auto"/>
              <w:ind w:left="18" w:right="2" w:hanging="7"/>
              <w:jc w:val="both"/>
              <w:rPr>
                <w:rFonts w:ascii="宋体" w:hAnsi="宋体" w:eastAsia="宋体" w:cs="宋体"/>
                <w:spacing w:val="-7"/>
                <w:sz w:val="21"/>
                <w:szCs w:val="21"/>
              </w:rPr>
            </w:pPr>
            <w:r>
              <w:rPr>
                <w:rFonts w:ascii="宋体" w:hAnsi="宋体" w:eastAsia="宋体" w:cs="宋体"/>
                <w:spacing w:val="-7"/>
                <w:sz w:val="21"/>
                <w:szCs w:val="21"/>
              </w:rPr>
              <w:t>2.  《山东省政府投资管理办法》（鲁政字〔2020〕232 号） 第十六 条：项目可行性研究报告经批准后，项目单位应当组织编制初步设计。初步设计应当明确建设内容、建设规模、建设标准、设备规格和技术参数等设计方案，并编制投资概算，达到国家和省规定的深度，且应当符合可行性研究报告批复内容。</w:t>
            </w:r>
          </w:p>
          <w:p>
            <w:pPr>
              <w:spacing w:before="138" w:line="246" w:lineRule="auto"/>
              <w:ind w:left="18" w:right="2" w:hanging="7"/>
              <w:jc w:val="both"/>
              <w:rPr>
                <w:rFonts w:ascii="宋体" w:hAnsi="宋体" w:eastAsia="宋体" w:cs="宋体"/>
                <w:sz w:val="21"/>
                <w:szCs w:val="21"/>
              </w:rPr>
            </w:pPr>
            <w:r>
              <w:rPr>
                <w:rFonts w:ascii="宋体" w:hAnsi="宋体" w:eastAsia="宋体" w:cs="宋体"/>
                <w:spacing w:val="-7"/>
                <w:sz w:val="21"/>
                <w:szCs w:val="21"/>
              </w:rPr>
              <w:t>第二十一条：中介服务机构或单位与编制项目可行性研究报告、初 步设计或投资概算的中介服务机构或单位为同一单位、存在控股、 管理关系或者负责人为同一人的，该中介服务机构或单位不得承担 该项目的评估评审工作。中介服务机构或单位与项目单位存在控股、管理关系或者负责人为同一人的，该中介服务机构或单位不得承担该项目的评估评审工作。</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77" w:lineRule="auto"/>
        <w:rPr>
          <w:rFonts w:ascii="宋体"/>
          <w:sz w:val="21"/>
        </w:rPr>
      </w:pPr>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1444" w:type="dxa"/>
            <w:vMerge w:val="restart"/>
            <w:tcBorders>
              <w:left w:val="single" w:color="000000" w:sz="12" w:space="0"/>
              <w:bottom w:val="nil"/>
            </w:tcBorders>
            <w:vAlign w:val="center"/>
          </w:tcPr>
          <w:p>
            <w:pPr>
              <w:spacing w:before="69" w:line="239" w:lineRule="auto"/>
              <w:ind w:right="173"/>
              <w:jc w:val="center"/>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3</w:t>
            </w:r>
            <w:r>
              <w:rPr>
                <w:rFonts w:ascii="Times New Roman" w:hAnsi="Times New Roman" w:eastAsia="Times New Roman" w:cs="Times New Roman"/>
                <w:spacing w:val="-2"/>
                <w:sz w:val="21"/>
                <w:szCs w:val="21"/>
              </w:rPr>
              <w:t>.</w:t>
            </w:r>
            <w:r>
              <w:rPr>
                <w:rFonts w:ascii="宋体" w:hAnsi="宋体" w:eastAsia="宋体" w:cs="宋体"/>
                <w:spacing w:val="-2"/>
                <w:sz w:val="21"/>
                <w:szCs w:val="21"/>
              </w:rPr>
              <w:t>项目申请报告</w:t>
            </w:r>
          </w:p>
        </w:tc>
        <w:tc>
          <w:tcPr>
            <w:tcW w:w="1466" w:type="dxa"/>
            <w:vAlign w:val="center"/>
          </w:tcPr>
          <w:p>
            <w:pPr>
              <w:spacing w:before="69" w:line="239" w:lineRule="auto"/>
              <w:ind w:left="519" w:right="112" w:hanging="419"/>
              <w:jc w:val="center"/>
              <w:rPr>
                <w:rFonts w:ascii="宋体" w:hAnsi="宋体" w:eastAsia="宋体" w:cs="宋体"/>
                <w:spacing w:val="-2"/>
                <w:sz w:val="21"/>
                <w:szCs w:val="21"/>
              </w:rPr>
            </w:pPr>
            <w:r>
              <w:rPr>
                <w:rFonts w:ascii="宋体" w:hAnsi="宋体" w:eastAsia="宋体" w:cs="宋体"/>
                <w:spacing w:val="-2"/>
                <w:sz w:val="21"/>
                <w:szCs w:val="21"/>
              </w:rPr>
              <w:t>企业投资</w:t>
            </w:r>
          </w:p>
          <w:p>
            <w:pPr>
              <w:spacing w:before="69" w:line="239" w:lineRule="auto"/>
              <w:ind w:left="519" w:right="112" w:hanging="419"/>
              <w:jc w:val="center"/>
              <w:rPr>
                <w:rFonts w:ascii="宋体" w:hAnsi="宋体" w:eastAsia="宋体" w:cs="宋体"/>
                <w:sz w:val="21"/>
                <w:szCs w:val="21"/>
              </w:rPr>
            </w:pPr>
            <w:r>
              <w:rPr>
                <w:rFonts w:ascii="宋体" w:hAnsi="宋体" w:eastAsia="宋体" w:cs="宋体"/>
                <w:spacing w:val="-2"/>
                <w:sz w:val="21"/>
                <w:szCs w:val="21"/>
              </w:rPr>
              <w:t>项目</w:t>
            </w:r>
            <w:r>
              <w:rPr>
                <w:rFonts w:ascii="宋体" w:hAnsi="宋体" w:eastAsia="宋体" w:cs="宋体"/>
                <w:spacing w:val="-3"/>
                <w:sz w:val="21"/>
                <w:szCs w:val="21"/>
              </w:rPr>
              <w:t>核准</w:t>
            </w:r>
          </w:p>
        </w:tc>
        <w:tc>
          <w:tcPr>
            <w:tcW w:w="1980" w:type="dxa"/>
            <w:vAlign w:val="center"/>
          </w:tcPr>
          <w:p>
            <w:pPr>
              <w:spacing w:before="69" w:line="184" w:lineRule="auto"/>
              <w:jc w:val="center"/>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138" w:line="246" w:lineRule="auto"/>
              <w:ind w:left="18" w:right="2" w:hanging="7"/>
              <w:jc w:val="center"/>
              <w:rPr>
                <w:rFonts w:ascii="宋体" w:hAnsi="宋体" w:eastAsia="宋体" w:cs="宋体"/>
                <w:spacing w:val="-7"/>
                <w:sz w:val="21"/>
                <w:szCs w:val="21"/>
              </w:rPr>
            </w:pPr>
            <w:r>
              <w:rPr>
                <w:rFonts w:ascii="宋体" w:hAnsi="宋体" w:eastAsia="宋体" w:cs="宋体"/>
                <w:spacing w:val="-7"/>
                <w:sz w:val="21"/>
                <w:szCs w:val="21"/>
              </w:rPr>
              <w:t>行政许可</w:t>
            </w:r>
          </w:p>
        </w:tc>
        <w:tc>
          <w:tcPr>
            <w:tcW w:w="6043" w:type="dxa"/>
            <w:vAlign w:val="center"/>
          </w:tcPr>
          <w:p>
            <w:pPr>
              <w:keepNext w:val="0"/>
              <w:keepLines w:val="0"/>
              <w:pageBreakBefore w:val="0"/>
              <w:widowControl/>
              <w:numPr>
                <w:ilvl w:val="0"/>
                <w:numId w:val="12"/>
              </w:numPr>
              <w:kinsoku w:val="0"/>
              <w:wordWrap/>
              <w:overflowPunct/>
              <w:topLinePunct w:val="0"/>
              <w:autoSpaceDE w:val="0"/>
              <w:autoSpaceDN w:val="0"/>
              <w:bidi w:val="0"/>
              <w:adjustRightInd w:val="0"/>
              <w:snapToGrid w:val="0"/>
              <w:spacing w:line="280" w:lineRule="exact"/>
              <w:ind w:left="18" w:right="0" w:hanging="7"/>
              <w:jc w:val="left"/>
              <w:textAlignment w:val="baseline"/>
              <w:rPr>
                <w:rFonts w:ascii="宋体" w:hAnsi="宋体" w:eastAsia="宋体" w:cs="宋体"/>
                <w:spacing w:val="-7"/>
                <w:sz w:val="21"/>
                <w:szCs w:val="21"/>
              </w:rPr>
            </w:pPr>
            <w:r>
              <w:rPr>
                <w:rFonts w:ascii="宋体" w:hAnsi="宋体" w:eastAsia="宋体" w:cs="宋体"/>
                <w:spacing w:val="-7"/>
                <w:sz w:val="21"/>
                <w:szCs w:val="21"/>
              </w:rPr>
              <w:t>《企业投资项目核准和备案管理条例》（国务院第673号）第七条：项目申请书由企业自主组织编制，任何单位和个人不得强制企业委托中介服务机构编制项目申请书。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11" w:leftChars="0" w:right="0" w:rightChars="0"/>
              <w:jc w:val="left"/>
              <w:textAlignment w:val="baseline"/>
              <w:rPr>
                <w:rFonts w:ascii="宋体" w:hAnsi="宋体" w:eastAsia="宋体" w:cs="宋体"/>
                <w:spacing w:val="-7"/>
                <w:sz w:val="21"/>
                <w:szCs w:val="21"/>
              </w:rPr>
            </w:pPr>
            <w:r>
              <w:rPr>
                <w:rFonts w:ascii="宋体" w:hAnsi="宋体" w:eastAsia="宋体" w:cs="宋体"/>
                <w:spacing w:val="-7"/>
                <w:sz w:val="21"/>
                <w:szCs w:val="21"/>
              </w:rPr>
              <w:t>2.《山东省企业投资项目核准和备案办法》（省政府第326号令）第十条：企业可以自己编制项目申请报告，也可以委托具有相关经验和能力的中介服务机构编制。任何单位和个人不得强制企业委托中介服务机构编制项目申请报告。</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2" w:hRule="atLeast"/>
        </w:trPr>
        <w:tc>
          <w:tcPr>
            <w:tcW w:w="1444" w:type="dxa"/>
            <w:vMerge w:val="continue"/>
            <w:tcBorders>
              <w:top w:val="nil"/>
              <w:left w:val="single" w:color="000000" w:sz="12" w:space="0"/>
            </w:tcBorders>
            <w:vAlign w:val="center"/>
          </w:tcPr>
          <w:p>
            <w:pPr>
              <w:jc w:val="center"/>
              <w:rPr>
                <w:rFonts w:ascii="宋体"/>
                <w:sz w:val="21"/>
              </w:rPr>
            </w:pPr>
          </w:p>
        </w:tc>
        <w:tc>
          <w:tcPr>
            <w:tcW w:w="1466" w:type="dxa"/>
            <w:vAlign w:val="center"/>
          </w:tcPr>
          <w:p>
            <w:pPr>
              <w:spacing w:before="68" w:line="239" w:lineRule="auto"/>
              <w:ind w:left="96" w:right="112" w:firstLine="4"/>
              <w:jc w:val="center"/>
              <w:rPr>
                <w:rFonts w:ascii="宋体" w:hAnsi="宋体" w:eastAsia="宋体" w:cs="宋体"/>
                <w:sz w:val="21"/>
                <w:szCs w:val="21"/>
              </w:rPr>
            </w:pPr>
            <w:r>
              <w:rPr>
                <w:rFonts w:ascii="宋体" w:hAnsi="宋体" w:eastAsia="宋体" w:cs="宋体"/>
                <w:spacing w:val="-2"/>
                <w:sz w:val="21"/>
                <w:szCs w:val="21"/>
              </w:rPr>
              <w:t>企业技术改造投资项目核准</w:t>
            </w:r>
          </w:p>
        </w:tc>
        <w:tc>
          <w:tcPr>
            <w:tcW w:w="1980" w:type="dxa"/>
            <w:vAlign w:val="center"/>
          </w:tcPr>
          <w:p>
            <w:pPr>
              <w:spacing w:before="69"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9"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280" w:lineRule="exact"/>
              <w:ind w:left="16" w:right="0" w:firstLine="20"/>
              <w:jc w:val="left"/>
              <w:textAlignment w:val="baseline"/>
              <w:rPr>
                <w:rFonts w:ascii="宋体" w:hAnsi="宋体" w:eastAsia="宋体" w:cs="宋体"/>
                <w:spacing w:val="-7"/>
                <w:sz w:val="21"/>
                <w:szCs w:val="21"/>
              </w:rPr>
            </w:pPr>
            <w:r>
              <w:rPr>
                <w:rFonts w:ascii="宋体" w:hAnsi="宋体" w:eastAsia="宋体" w:cs="宋体"/>
                <w:spacing w:val="-7"/>
                <w:sz w:val="21"/>
                <w:szCs w:val="21"/>
              </w:rPr>
              <w:t>《企业投资项目核准和备案管理条例》（国务院第673号）第七条：项目申请书由企业自主组织编制，任何单位和个人不得强制企业委托中介服务机构编制项目申请书。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0" w:rightChars="0"/>
              <w:jc w:val="left"/>
              <w:textAlignment w:val="baseline"/>
              <w:rPr>
                <w:rFonts w:ascii="宋体" w:hAnsi="宋体" w:eastAsia="宋体" w:cs="宋体"/>
                <w:sz w:val="21"/>
                <w:szCs w:val="21"/>
              </w:rPr>
            </w:pPr>
            <w:r>
              <w:rPr>
                <w:rFonts w:ascii="宋体" w:hAnsi="宋体" w:eastAsia="宋体" w:cs="宋体"/>
                <w:spacing w:val="-7"/>
                <w:sz w:val="21"/>
                <w:szCs w:val="21"/>
              </w:rPr>
              <w:t>2.《山东省企业投资项目核准和备案办法》（省政府第326号令）第十条：企业可以自己编制项目申请报告，也可以委托具有相关经验和能力的中介服务机构编制。任何单位和个人不得强制企业委托中介服务机构编制项目申请报告。</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1444" w:type="dxa"/>
            <w:tcBorders>
              <w:left w:val="single" w:color="000000" w:sz="12" w:space="0"/>
              <w:bottom w:val="single" w:color="000000" w:sz="12" w:space="0"/>
            </w:tcBorders>
            <w:vAlign w:val="center"/>
          </w:tcPr>
          <w:p>
            <w:pPr>
              <w:spacing w:before="68" w:line="184" w:lineRule="auto"/>
              <w:ind w:firstLine="157"/>
              <w:jc w:val="both"/>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4</w:t>
            </w:r>
            <w:r>
              <w:rPr>
                <w:rFonts w:ascii="Times New Roman" w:hAnsi="Times New Roman" w:eastAsia="Times New Roman" w:cs="Times New Roman"/>
                <w:spacing w:val="-2"/>
                <w:sz w:val="21"/>
                <w:szCs w:val="21"/>
              </w:rPr>
              <w:t>.</w:t>
            </w:r>
            <w:r>
              <w:rPr>
                <w:rFonts w:ascii="宋体" w:hAnsi="宋体" w:eastAsia="宋体" w:cs="宋体"/>
                <w:spacing w:val="-2"/>
                <w:sz w:val="21"/>
                <w:szCs w:val="21"/>
              </w:rPr>
              <w:t>节能报告</w:t>
            </w:r>
          </w:p>
        </w:tc>
        <w:tc>
          <w:tcPr>
            <w:tcW w:w="1466" w:type="dxa"/>
            <w:tcBorders>
              <w:bottom w:val="single" w:color="000000" w:sz="12" w:space="0"/>
            </w:tcBorders>
            <w:vAlign w:val="center"/>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节能审查</w:t>
            </w:r>
          </w:p>
        </w:tc>
        <w:tc>
          <w:tcPr>
            <w:tcW w:w="1980" w:type="dxa"/>
            <w:tcBorders>
              <w:bottom w:val="single" w:color="000000" w:sz="12" w:space="0"/>
            </w:tcBorders>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0" w:rightChars="0"/>
              <w:jc w:val="left"/>
              <w:textAlignment w:val="baseline"/>
              <w:rPr>
                <w:rFonts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ascii="宋体" w:hAnsi="宋体" w:eastAsia="宋体" w:cs="宋体"/>
                <w:spacing w:val="-7"/>
                <w:sz w:val="21"/>
                <w:szCs w:val="21"/>
              </w:rPr>
              <w:t>《固定资产投资项目节能审查办法》（国家发展和改革委员会第44号令）第七条：建设单位应编制固定资产投资项目节能报告。第十四条：节能审查机关对建设单位、中介机构等的违法违规信息进行记录，将违法违规信息纳入全国信用信息共享平台和投资项目审批监管平台，在“信用中国”网站向社会公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right="0" w:rightChars="0"/>
              <w:jc w:val="left"/>
              <w:textAlignment w:val="baseline"/>
              <w:rPr>
                <w:rFonts w:ascii="宋体" w:hAnsi="宋体" w:eastAsia="宋体" w:cs="宋体"/>
                <w:sz w:val="21"/>
                <w:szCs w:val="21"/>
              </w:rPr>
            </w:pPr>
            <w:r>
              <w:rPr>
                <w:rFonts w:ascii="宋体" w:hAnsi="宋体" w:eastAsia="宋体" w:cs="宋体"/>
                <w:spacing w:val="-7"/>
                <w:sz w:val="21"/>
                <w:szCs w:val="21"/>
              </w:rPr>
              <w:t>2.《山东省固定资产投资项目节能审查实施办法》（鲁发改环资〔2018〕93号）第七条：需要进行节能审查的固定资产投资项目建设单位可自行编制节能报告，也可由其自主委托具有相关经验和能力的中介机构编制。</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bl>
    <w:p>
      <w:pPr>
        <w:rPr>
          <w:rFonts w:ascii="宋体"/>
          <w:sz w:val="21"/>
        </w:rPr>
      </w:pPr>
    </w:p>
    <w:p>
      <w:pPr>
        <w:sectPr>
          <w:footerReference r:id="rId11"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1444" w:type="dxa"/>
            <w:tcBorders>
              <w:left w:val="single" w:color="000000" w:sz="12" w:space="0"/>
            </w:tcBorders>
            <w:vAlign w:val="top"/>
          </w:tcPr>
          <w:p>
            <w:pPr>
              <w:spacing w:line="343" w:lineRule="auto"/>
              <w:rPr>
                <w:rFonts w:ascii="宋体"/>
                <w:sz w:val="21"/>
              </w:rPr>
            </w:pPr>
          </w:p>
          <w:p>
            <w:pPr>
              <w:spacing w:line="344" w:lineRule="auto"/>
              <w:rPr>
                <w:rFonts w:ascii="宋体"/>
                <w:sz w:val="21"/>
              </w:rPr>
            </w:pPr>
          </w:p>
          <w:p>
            <w:pPr>
              <w:spacing w:before="68" w:line="239" w:lineRule="auto"/>
              <w:ind w:left="498" w:right="69" w:hanging="445"/>
              <w:rPr>
                <w:rFonts w:ascii="宋体" w:hAnsi="宋体" w:eastAsia="宋体" w:cs="宋体"/>
                <w:sz w:val="21"/>
                <w:szCs w:val="21"/>
              </w:rPr>
            </w:pPr>
            <w:r>
              <w:rPr>
                <w:rFonts w:ascii="Times New Roman" w:hAnsi="Times New Roman" w:eastAsia="Times New Roman" w:cs="Times New Roman"/>
                <w:spacing w:val="-2"/>
                <w:sz w:val="21"/>
                <w:szCs w:val="21"/>
              </w:rPr>
              <w:t>3</w:t>
            </w:r>
            <w:r>
              <w:rPr>
                <w:rFonts w:hint="eastAsia" w:ascii="Times New Roman" w:hAnsi="Times New Roman" w:eastAsia="宋体" w:cs="Times New Roman"/>
                <w:spacing w:val="-2"/>
                <w:sz w:val="21"/>
                <w:szCs w:val="21"/>
                <w:lang w:val="en-US" w:eastAsia="zh-CN"/>
              </w:rPr>
              <w:t>5</w:t>
            </w:r>
            <w:r>
              <w:rPr>
                <w:rFonts w:ascii="Times New Roman" w:hAnsi="Times New Roman" w:eastAsia="Times New Roman" w:cs="Times New Roman"/>
                <w:spacing w:val="-2"/>
                <w:sz w:val="21"/>
                <w:szCs w:val="21"/>
              </w:rPr>
              <w:t>.</w:t>
            </w:r>
            <w:r>
              <w:rPr>
                <w:rFonts w:ascii="宋体" w:hAnsi="宋体" w:eastAsia="宋体" w:cs="宋体"/>
                <w:spacing w:val="-2"/>
                <w:sz w:val="21"/>
                <w:szCs w:val="21"/>
              </w:rPr>
              <w:t>采矿权抵押</w:t>
            </w:r>
            <w:r>
              <w:rPr>
                <w:rFonts w:ascii="宋体" w:hAnsi="宋体" w:eastAsia="宋体" w:cs="宋体"/>
                <w:spacing w:val="7"/>
                <w:sz w:val="21"/>
                <w:szCs w:val="21"/>
              </w:rPr>
              <w:t xml:space="preserve"> </w:t>
            </w:r>
            <w:r>
              <w:rPr>
                <w:rFonts w:ascii="宋体" w:hAnsi="宋体" w:eastAsia="宋体" w:cs="宋体"/>
                <w:spacing w:val="-2"/>
                <w:sz w:val="21"/>
                <w:szCs w:val="21"/>
              </w:rPr>
              <w:t>评估</w:t>
            </w:r>
          </w:p>
        </w:tc>
        <w:tc>
          <w:tcPr>
            <w:tcW w:w="1466" w:type="dxa"/>
            <w:vAlign w:val="top"/>
          </w:tcPr>
          <w:p>
            <w:pPr>
              <w:spacing w:line="343" w:lineRule="auto"/>
              <w:rPr>
                <w:rFonts w:ascii="宋体"/>
                <w:sz w:val="21"/>
              </w:rPr>
            </w:pPr>
          </w:p>
          <w:p>
            <w:pPr>
              <w:spacing w:line="344" w:lineRule="auto"/>
              <w:rPr>
                <w:rFonts w:ascii="宋体"/>
                <w:sz w:val="21"/>
              </w:rPr>
            </w:pPr>
          </w:p>
          <w:p>
            <w:pPr>
              <w:spacing w:before="68" w:line="239" w:lineRule="auto"/>
              <w:ind w:left="519" w:right="216" w:hanging="319"/>
              <w:rPr>
                <w:rFonts w:ascii="宋体" w:hAnsi="宋体" w:eastAsia="宋体" w:cs="宋体"/>
                <w:sz w:val="21"/>
                <w:szCs w:val="21"/>
              </w:rPr>
            </w:pPr>
            <w:r>
              <w:rPr>
                <w:rFonts w:ascii="宋体" w:hAnsi="宋体" w:eastAsia="宋体" w:cs="宋体"/>
                <w:spacing w:val="-2"/>
                <w:sz w:val="21"/>
                <w:szCs w:val="21"/>
              </w:rPr>
              <w:t>矿业权抵押</w:t>
            </w:r>
            <w:r>
              <w:rPr>
                <w:rFonts w:ascii="宋体" w:hAnsi="宋体" w:eastAsia="宋体" w:cs="宋体"/>
                <w:spacing w:val="4"/>
                <w:sz w:val="21"/>
                <w:szCs w:val="21"/>
              </w:rPr>
              <w:t xml:space="preserve"> </w:t>
            </w:r>
            <w:r>
              <w:rPr>
                <w:rFonts w:ascii="宋体" w:hAnsi="宋体" w:eastAsia="宋体" w:cs="宋体"/>
                <w:spacing w:val="-3"/>
                <w:sz w:val="21"/>
                <w:szCs w:val="21"/>
              </w:rPr>
              <w:t>备案</w:t>
            </w:r>
          </w:p>
        </w:tc>
        <w:tc>
          <w:tcPr>
            <w:tcW w:w="1980" w:type="dxa"/>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68"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vAlign w:val="top"/>
          </w:tcPr>
          <w:p>
            <w:pPr>
              <w:spacing w:line="315" w:lineRule="auto"/>
              <w:jc w:val="both"/>
              <w:rPr>
                <w:rFonts w:ascii="宋体"/>
                <w:sz w:val="21"/>
              </w:rPr>
            </w:pPr>
          </w:p>
          <w:p>
            <w:pPr>
              <w:spacing w:before="68" w:line="246" w:lineRule="auto"/>
              <w:ind w:left="18" w:right="1" w:firstLine="1"/>
              <w:jc w:val="both"/>
              <w:rPr>
                <w:rFonts w:ascii="宋体" w:hAnsi="宋体" w:eastAsia="宋体" w:cs="宋体"/>
                <w:sz w:val="21"/>
                <w:szCs w:val="21"/>
              </w:rPr>
            </w:pPr>
            <w:r>
              <w:rPr>
                <w:rFonts w:ascii="宋体" w:hAnsi="宋体" w:eastAsia="宋体" w:cs="宋体"/>
                <w:spacing w:val="-7"/>
                <w:sz w:val="21"/>
                <w:szCs w:val="21"/>
              </w:rPr>
              <w:t>《探矿权采矿权转让管理办法》（国务院令</w:t>
            </w:r>
            <w:r>
              <w:rPr>
                <w:rFonts w:ascii="宋体" w:hAnsi="宋体" w:eastAsia="宋体" w:cs="宋体"/>
                <w:spacing w:val="-17"/>
                <w:sz w:val="21"/>
                <w:szCs w:val="21"/>
              </w:rPr>
              <w:t xml:space="preserve"> </w:t>
            </w:r>
            <w:r>
              <w:rPr>
                <w:rFonts w:ascii="Times New Roman" w:hAnsi="Times New Roman" w:eastAsia="Times New Roman" w:cs="Times New Roman"/>
                <w:spacing w:val="-7"/>
                <w:sz w:val="21"/>
                <w:szCs w:val="21"/>
              </w:rPr>
              <w:t>242</w:t>
            </w:r>
            <w:r>
              <w:rPr>
                <w:rFonts w:ascii="Times New Roman" w:hAnsi="Times New Roman" w:eastAsia="Times New Roman" w:cs="Times New Roman"/>
                <w:spacing w:val="32"/>
                <w:w w:val="101"/>
                <w:sz w:val="21"/>
                <w:szCs w:val="21"/>
              </w:rPr>
              <w:t xml:space="preserve"> </w:t>
            </w:r>
            <w:r>
              <w:rPr>
                <w:rFonts w:ascii="宋体" w:hAnsi="宋体" w:eastAsia="宋体" w:cs="宋体"/>
                <w:spacing w:val="-7"/>
                <w:sz w:val="21"/>
                <w:szCs w:val="21"/>
              </w:rPr>
              <w:t>号，</w:t>
            </w:r>
            <w:r>
              <w:rPr>
                <w:rFonts w:ascii="Times New Roman" w:hAnsi="Times New Roman" w:eastAsia="Times New Roman" w:cs="Times New Roman"/>
                <w:spacing w:val="-7"/>
                <w:sz w:val="21"/>
                <w:szCs w:val="21"/>
              </w:rPr>
              <w:t>2014</w:t>
            </w:r>
            <w:r>
              <w:rPr>
                <w:rFonts w:ascii="Times New Roman" w:hAnsi="Times New Roman" w:eastAsia="Times New Roman" w:cs="Times New Roman"/>
                <w:spacing w:val="27"/>
                <w:sz w:val="21"/>
                <w:szCs w:val="21"/>
              </w:rPr>
              <w:t xml:space="preserve"> </w:t>
            </w:r>
            <w:r>
              <w:rPr>
                <w:rFonts w:ascii="宋体" w:hAnsi="宋体" w:eastAsia="宋体" w:cs="宋体"/>
                <w:spacing w:val="-7"/>
                <w:sz w:val="21"/>
                <w:szCs w:val="21"/>
              </w:rPr>
              <w:t>年</w:t>
            </w:r>
            <w:r>
              <w:rPr>
                <w:rFonts w:ascii="宋体" w:hAnsi="宋体" w:eastAsia="宋体" w:cs="宋体"/>
                <w:spacing w:val="-27"/>
                <w:sz w:val="21"/>
                <w:szCs w:val="21"/>
              </w:rPr>
              <w:t xml:space="preserve"> </w:t>
            </w:r>
            <w:r>
              <w:rPr>
                <w:rFonts w:ascii="Times New Roman" w:hAnsi="Times New Roman" w:eastAsia="Times New Roman" w:cs="Times New Roman"/>
                <w:spacing w:val="-7"/>
                <w:sz w:val="21"/>
                <w:szCs w:val="21"/>
              </w:rPr>
              <w:t>7</w:t>
            </w:r>
            <w:r>
              <w:rPr>
                <w:rFonts w:ascii="Times New Roman" w:hAnsi="Times New Roman" w:eastAsia="Times New Roman" w:cs="Times New Roman"/>
                <w:spacing w:val="37"/>
                <w:w w:val="101"/>
                <w:sz w:val="21"/>
                <w:szCs w:val="21"/>
              </w:rPr>
              <w:t xml:space="preserve"> </w:t>
            </w:r>
            <w:r>
              <w:rPr>
                <w:rFonts w:ascii="宋体" w:hAnsi="宋体" w:eastAsia="宋体" w:cs="宋体"/>
                <w:spacing w:val="-7"/>
                <w:sz w:val="21"/>
                <w:szCs w:val="21"/>
              </w:rPr>
              <w:t>月</w:t>
            </w:r>
            <w:r>
              <w:rPr>
                <w:rFonts w:ascii="宋体" w:hAnsi="宋体" w:eastAsia="宋体" w:cs="宋体"/>
                <w:sz w:val="21"/>
                <w:szCs w:val="21"/>
              </w:rPr>
              <w:t xml:space="preserve"> </w:t>
            </w:r>
            <w:r>
              <w:rPr>
                <w:rFonts w:ascii="宋体" w:hAnsi="宋体" w:eastAsia="宋体" w:cs="宋体"/>
                <w:spacing w:val="-16"/>
                <w:sz w:val="21"/>
                <w:szCs w:val="21"/>
              </w:rPr>
              <w:t>修订）</w:t>
            </w:r>
            <w:r>
              <w:rPr>
                <w:rFonts w:ascii="宋体" w:hAnsi="宋体" w:eastAsia="宋体" w:cs="宋体"/>
                <w:spacing w:val="7"/>
                <w:sz w:val="21"/>
                <w:szCs w:val="21"/>
              </w:rPr>
              <w:t xml:space="preserve"> </w:t>
            </w:r>
            <w:r>
              <w:rPr>
                <w:rFonts w:ascii="宋体" w:hAnsi="宋体" w:eastAsia="宋体" w:cs="宋体"/>
                <w:spacing w:val="-16"/>
                <w:sz w:val="21"/>
                <w:szCs w:val="21"/>
              </w:rPr>
              <w:t>第九条：转让国家出资勘查所形成的探矿权、采矿权的，必</w:t>
            </w:r>
            <w:r>
              <w:rPr>
                <w:rFonts w:ascii="宋体" w:hAnsi="宋体" w:eastAsia="宋体" w:cs="宋体"/>
                <w:sz w:val="21"/>
                <w:szCs w:val="21"/>
              </w:rPr>
              <w:t xml:space="preserve"> </w:t>
            </w:r>
            <w:r>
              <w:rPr>
                <w:rFonts w:ascii="宋体" w:hAnsi="宋体" w:eastAsia="宋体" w:cs="宋体"/>
                <w:spacing w:val="-9"/>
                <w:sz w:val="21"/>
                <w:szCs w:val="21"/>
              </w:rPr>
              <w:t>须进行评估。国家出资勘查形成的探矿权、采矿权价款，由具有矿</w:t>
            </w:r>
            <w:r>
              <w:rPr>
                <w:rFonts w:ascii="宋体" w:hAnsi="宋体" w:eastAsia="宋体" w:cs="宋体"/>
                <w:sz w:val="21"/>
                <w:szCs w:val="21"/>
              </w:rPr>
              <w:t xml:space="preserve"> </w:t>
            </w:r>
            <w:r>
              <w:rPr>
                <w:rFonts w:ascii="宋体" w:hAnsi="宋体" w:eastAsia="宋体" w:cs="宋体"/>
                <w:spacing w:val="-7"/>
                <w:sz w:val="21"/>
                <w:szCs w:val="21"/>
              </w:rPr>
              <w:t>业权评估资质的评估机构进行评估；评估报告报探矿权、采矿权登</w:t>
            </w:r>
            <w:r>
              <w:rPr>
                <w:rFonts w:ascii="宋体" w:hAnsi="宋体" w:eastAsia="宋体" w:cs="宋体"/>
                <w:sz w:val="21"/>
                <w:szCs w:val="21"/>
              </w:rPr>
              <w:t xml:space="preserve"> </w:t>
            </w:r>
            <w:r>
              <w:rPr>
                <w:rFonts w:ascii="宋体" w:hAnsi="宋体" w:eastAsia="宋体" w:cs="宋体"/>
                <w:spacing w:val="-5"/>
                <w:sz w:val="21"/>
                <w:szCs w:val="21"/>
              </w:rPr>
              <w:t>记管理机关备案。</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6" w:hRule="atLeast"/>
        </w:trPr>
        <w:tc>
          <w:tcPr>
            <w:tcW w:w="1444" w:type="dxa"/>
            <w:tcBorders>
              <w:left w:val="single" w:color="000000" w:sz="12" w:space="0"/>
            </w:tcBorders>
            <w:vAlign w:val="top"/>
          </w:tcPr>
          <w:p>
            <w:pPr>
              <w:spacing w:line="448" w:lineRule="auto"/>
              <w:rPr>
                <w:rFonts w:ascii="宋体"/>
                <w:sz w:val="21"/>
              </w:rPr>
            </w:pPr>
          </w:p>
          <w:p>
            <w:pPr>
              <w:spacing w:before="68" w:line="184" w:lineRule="auto"/>
              <w:ind w:firstLine="53"/>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36</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建设项目使</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用林地可行性</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报告或者林地</w:t>
            </w:r>
          </w:p>
          <w:p>
            <w:pPr>
              <w:spacing w:before="63" w:line="184" w:lineRule="auto"/>
              <w:ind w:firstLine="182"/>
              <w:rPr>
                <w:rFonts w:ascii="宋体" w:hAnsi="宋体" w:eastAsia="宋体" w:cs="宋体"/>
                <w:sz w:val="21"/>
                <w:szCs w:val="21"/>
              </w:rPr>
            </w:pPr>
            <w:r>
              <w:rPr>
                <w:rFonts w:ascii="宋体" w:hAnsi="宋体" w:eastAsia="宋体" w:cs="宋体"/>
                <w:spacing w:val="-2"/>
                <w:sz w:val="21"/>
                <w:szCs w:val="21"/>
              </w:rPr>
              <w:t>现状调查表</w:t>
            </w:r>
          </w:p>
        </w:tc>
        <w:tc>
          <w:tcPr>
            <w:tcW w:w="1466" w:type="dxa"/>
            <w:vAlign w:val="top"/>
          </w:tcPr>
          <w:p>
            <w:pPr>
              <w:spacing w:line="344" w:lineRule="auto"/>
              <w:rPr>
                <w:rFonts w:ascii="宋体"/>
                <w:sz w:val="21"/>
              </w:rPr>
            </w:pPr>
          </w:p>
          <w:p>
            <w:pPr>
              <w:spacing w:line="344" w:lineRule="auto"/>
              <w:rPr>
                <w:rFonts w:ascii="宋体"/>
                <w:sz w:val="21"/>
              </w:rPr>
            </w:pPr>
          </w:p>
          <w:p>
            <w:pPr>
              <w:spacing w:before="68" w:line="239" w:lineRule="auto"/>
              <w:ind w:left="307" w:right="112" w:hanging="209"/>
              <w:rPr>
                <w:rFonts w:ascii="宋体" w:hAnsi="宋体" w:eastAsia="宋体" w:cs="宋体"/>
                <w:sz w:val="21"/>
                <w:szCs w:val="21"/>
              </w:rPr>
            </w:pPr>
            <w:r>
              <w:rPr>
                <w:rFonts w:ascii="宋体" w:hAnsi="宋体" w:eastAsia="宋体" w:cs="宋体"/>
                <w:spacing w:val="-2"/>
                <w:sz w:val="21"/>
                <w:szCs w:val="21"/>
              </w:rPr>
              <w:t>建设项目使用</w:t>
            </w:r>
            <w:r>
              <w:rPr>
                <w:rFonts w:ascii="宋体" w:hAnsi="宋体" w:eastAsia="宋体" w:cs="宋体"/>
                <w:spacing w:val="2"/>
                <w:sz w:val="21"/>
                <w:szCs w:val="21"/>
              </w:rPr>
              <w:t xml:space="preserve"> </w:t>
            </w:r>
            <w:r>
              <w:rPr>
                <w:rFonts w:ascii="宋体" w:hAnsi="宋体" w:eastAsia="宋体" w:cs="宋体"/>
                <w:spacing w:val="-2"/>
                <w:sz w:val="21"/>
                <w:szCs w:val="21"/>
              </w:rPr>
              <w:t>林地审批</w:t>
            </w:r>
          </w:p>
        </w:tc>
        <w:tc>
          <w:tcPr>
            <w:tcW w:w="1980"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69"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line="317" w:lineRule="auto"/>
              <w:jc w:val="both"/>
              <w:rPr>
                <w:rFonts w:ascii="宋体"/>
                <w:sz w:val="21"/>
              </w:rPr>
            </w:pPr>
          </w:p>
          <w:p>
            <w:pPr>
              <w:spacing w:before="69" w:line="243" w:lineRule="auto"/>
              <w:ind w:left="19" w:right="2" w:firstLine="1"/>
              <w:jc w:val="both"/>
              <w:rPr>
                <w:rFonts w:ascii="宋体" w:hAnsi="宋体" w:eastAsia="宋体" w:cs="宋体"/>
                <w:sz w:val="21"/>
                <w:szCs w:val="21"/>
              </w:rPr>
            </w:pPr>
            <w:r>
              <w:rPr>
                <w:rFonts w:ascii="宋体" w:hAnsi="宋体" w:eastAsia="宋体" w:cs="宋体"/>
                <w:spacing w:val="-4"/>
                <w:sz w:val="21"/>
                <w:szCs w:val="21"/>
              </w:rPr>
              <w:t>《建设项目使用林地审核审批管理办法》（</w:t>
            </w:r>
            <w:r>
              <w:rPr>
                <w:rFonts w:ascii="Times New Roman" w:hAnsi="Times New Roman" w:eastAsia="Times New Roman" w:cs="Times New Roman"/>
                <w:spacing w:val="-4"/>
                <w:sz w:val="21"/>
                <w:szCs w:val="21"/>
              </w:rPr>
              <w:t>2015</w:t>
            </w:r>
            <w:r>
              <w:rPr>
                <w:rFonts w:ascii="Times New Roman" w:hAnsi="Times New Roman" w:eastAsia="Times New Roman" w:cs="Times New Roman"/>
                <w:spacing w:val="23"/>
                <w:sz w:val="21"/>
                <w:szCs w:val="21"/>
              </w:rPr>
              <w:t xml:space="preserve"> </w:t>
            </w:r>
            <w:r>
              <w:rPr>
                <w:rFonts w:ascii="宋体" w:hAnsi="宋体" w:eastAsia="宋体" w:cs="宋体"/>
                <w:spacing w:val="-4"/>
                <w:sz w:val="21"/>
                <w:szCs w:val="21"/>
              </w:rPr>
              <w:t>年</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月</w:t>
            </w:r>
            <w:r>
              <w:rPr>
                <w:rFonts w:ascii="宋体" w:hAnsi="宋体" w:eastAsia="宋体" w:cs="宋体"/>
                <w:spacing w:val="-45"/>
                <w:sz w:val="21"/>
                <w:szCs w:val="21"/>
              </w:rPr>
              <w:t xml:space="preserve"> </w:t>
            </w:r>
            <w:r>
              <w:rPr>
                <w:rFonts w:ascii="Times New Roman" w:hAnsi="Times New Roman" w:eastAsia="Times New Roman" w:cs="Times New Roman"/>
                <w:spacing w:val="-4"/>
                <w:sz w:val="21"/>
                <w:szCs w:val="21"/>
              </w:rPr>
              <w:t>30</w:t>
            </w:r>
            <w:r>
              <w:rPr>
                <w:rFonts w:ascii="Times New Roman" w:hAnsi="Times New Roman" w:eastAsia="Times New Roman" w:cs="Times New Roman"/>
                <w:spacing w:val="44"/>
                <w:sz w:val="21"/>
                <w:szCs w:val="21"/>
              </w:rPr>
              <w:t xml:space="preserve"> </w:t>
            </w:r>
            <w:r>
              <w:rPr>
                <w:rFonts w:ascii="宋体" w:hAnsi="宋体" w:eastAsia="宋体" w:cs="宋体"/>
                <w:spacing w:val="-4"/>
                <w:sz w:val="21"/>
                <w:szCs w:val="21"/>
              </w:rPr>
              <w:t>日国家</w:t>
            </w:r>
            <w:r>
              <w:rPr>
                <w:rFonts w:ascii="宋体" w:hAnsi="宋体" w:eastAsia="宋体" w:cs="宋体"/>
                <w:sz w:val="21"/>
                <w:szCs w:val="21"/>
              </w:rPr>
              <w:t xml:space="preserve"> </w:t>
            </w:r>
            <w:r>
              <w:rPr>
                <w:rFonts w:ascii="宋体" w:hAnsi="宋体" w:eastAsia="宋体" w:cs="宋体"/>
                <w:spacing w:val="-2"/>
                <w:sz w:val="21"/>
                <w:szCs w:val="21"/>
              </w:rPr>
              <w:t>林业局令第</w:t>
            </w:r>
            <w:r>
              <w:rPr>
                <w:rFonts w:ascii="宋体" w:hAnsi="宋体" w:eastAsia="宋体" w:cs="宋体"/>
                <w:spacing w:val="-7"/>
                <w:sz w:val="21"/>
                <w:szCs w:val="21"/>
              </w:rPr>
              <w:t xml:space="preserve"> </w:t>
            </w:r>
            <w:r>
              <w:rPr>
                <w:rFonts w:ascii="Times New Roman" w:hAnsi="Times New Roman" w:eastAsia="Times New Roman" w:cs="Times New Roman"/>
                <w:spacing w:val="-2"/>
                <w:sz w:val="21"/>
                <w:szCs w:val="21"/>
              </w:rPr>
              <w:t>35</w:t>
            </w:r>
            <w:r>
              <w:rPr>
                <w:rFonts w:ascii="Times New Roman" w:hAnsi="Times New Roman" w:eastAsia="Times New Roman" w:cs="Times New Roman"/>
                <w:spacing w:val="33"/>
                <w:w w:val="101"/>
                <w:sz w:val="21"/>
                <w:szCs w:val="21"/>
              </w:rPr>
              <w:t xml:space="preserve"> </w:t>
            </w:r>
            <w:r>
              <w:rPr>
                <w:rFonts w:ascii="宋体" w:hAnsi="宋体" w:eastAsia="宋体" w:cs="宋体"/>
                <w:spacing w:val="-2"/>
                <w:sz w:val="21"/>
                <w:szCs w:val="21"/>
              </w:rPr>
              <w:t>号）第七条：占用林地和临时占用林地的用地单位</w:t>
            </w:r>
            <w:r>
              <w:rPr>
                <w:rFonts w:ascii="宋体" w:hAnsi="宋体" w:eastAsia="宋体" w:cs="宋体"/>
                <w:sz w:val="21"/>
                <w:szCs w:val="21"/>
              </w:rPr>
              <w:t xml:space="preserve"> </w:t>
            </w:r>
            <w:r>
              <w:rPr>
                <w:rFonts w:ascii="宋体" w:hAnsi="宋体" w:eastAsia="宋体" w:cs="宋体"/>
                <w:spacing w:val="-13"/>
                <w:sz w:val="21"/>
                <w:szCs w:val="21"/>
              </w:rPr>
              <w:t>或者个人提出使用林地申请，应当填写《使用林地申请表》，同时</w:t>
            </w:r>
            <w:r>
              <w:rPr>
                <w:rFonts w:ascii="宋体" w:hAnsi="宋体" w:eastAsia="宋体" w:cs="宋体"/>
                <w:spacing w:val="2"/>
                <w:sz w:val="21"/>
                <w:szCs w:val="21"/>
              </w:rPr>
              <w:t>提供下列材料</w:t>
            </w:r>
            <w:r>
              <w:rPr>
                <w:rFonts w:ascii="宋体" w:hAnsi="宋体" w:eastAsia="宋体" w:cs="宋体"/>
                <w:spacing w:val="5"/>
                <w:sz w:val="21"/>
                <w:szCs w:val="21"/>
              </w:rPr>
              <w:t>：（</w:t>
            </w:r>
            <w:r>
              <w:rPr>
                <w:rFonts w:ascii="宋体" w:hAnsi="宋体" w:eastAsia="宋体" w:cs="宋体"/>
                <w:spacing w:val="2"/>
                <w:sz w:val="21"/>
                <w:szCs w:val="21"/>
              </w:rPr>
              <w:t>四</w:t>
            </w:r>
            <w:r>
              <w:rPr>
                <w:rFonts w:ascii="Times New Roman" w:hAnsi="Times New Roman" w:eastAsia="Times New Roman" w:cs="Times New Roman"/>
                <w:spacing w:val="2"/>
                <w:sz w:val="21"/>
                <w:szCs w:val="21"/>
              </w:rPr>
              <w:t>)</w:t>
            </w:r>
            <w:r>
              <w:rPr>
                <w:rFonts w:ascii="宋体" w:hAnsi="宋体" w:eastAsia="宋体" w:cs="宋体"/>
                <w:spacing w:val="2"/>
                <w:sz w:val="21"/>
                <w:szCs w:val="21"/>
              </w:rPr>
              <w:t>建设项目使用林地可行性报告或者林地现状</w:t>
            </w:r>
            <w:r>
              <w:rPr>
                <w:rFonts w:ascii="宋体" w:hAnsi="宋体" w:eastAsia="宋体" w:cs="宋体"/>
                <w:spacing w:val="1"/>
                <w:sz w:val="21"/>
                <w:szCs w:val="21"/>
              </w:rPr>
              <w:t xml:space="preserve"> </w:t>
            </w:r>
            <w:r>
              <w:rPr>
                <w:rFonts w:ascii="宋体" w:hAnsi="宋体" w:eastAsia="宋体" w:cs="宋体"/>
                <w:spacing w:val="-7"/>
                <w:sz w:val="21"/>
                <w:szCs w:val="21"/>
              </w:rPr>
              <w:t>调查表。</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3" w:hRule="atLeast"/>
        </w:trPr>
        <w:tc>
          <w:tcPr>
            <w:tcW w:w="1444" w:type="dxa"/>
            <w:tcBorders>
              <w:left w:val="single" w:color="000000" w:sz="12" w:space="0"/>
              <w:bottom w:val="single" w:color="000000" w:sz="12" w:space="0"/>
            </w:tcBorders>
            <w:vAlign w:val="top"/>
          </w:tcPr>
          <w:p>
            <w:pPr>
              <w:spacing w:line="283" w:lineRule="auto"/>
              <w:rPr>
                <w:rFonts w:ascii="宋体"/>
                <w:sz w:val="21"/>
              </w:rPr>
            </w:pPr>
          </w:p>
          <w:p>
            <w:pPr>
              <w:spacing w:line="283" w:lineRule="auto"/>
              <w:rPr>
                <w:rFonts w:ascii="宋体"/>
                <w:sz w:val="21"/>
              </w:rPr>
            </w:pPr>
          </w:p>
          <w:p>
            <w:pPr>
              <w:spacing w:line="284" w:lineRule="auto"/>
              <w:rPr>
                <w:rFonts w:ascii="宋体"/>
                <w:sz w:val="21"/>
              </w:rPr>
            </w:pPr>
          </w:p>
          <w:p>
            <w:pPr>
              <w:spacing w:before="68" w:line="239" w:lineRule="auto"/>
              <w:ind w:left="392" w:right="69" w:hanging="345"/>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37</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建设工程设</w:t>
            </w:r>
            <w:r>
              <w:rPr>
                <w:rFonts w:ascii="宋体" w:hAnsi="宋体" w:eastAsia="宋体" w:cs="宋体"/>
                <w:spacing w:val="4"/>
                <w:sz w:val="21"/>
                <w:szCs w:val="21"/>
              </w:rPr>
              <w:t xml:space="preserve"> </w:t>
            </w:r>
            <w:r>
              <w:rPr>
                <w:rFonts w:ascii="宋体" w:hAnsi="宋体" w:eastAsia="宋体" w:cs="宋体"/>
                <w:spacing w:val="-2"/>
                <w:sz w:val="21"/>
                <w:szCs w:val="21"/>
              </w:rPr>
              <w:t>计方案</w:t>
            </w:r>
          </w:p>
        </w:tc>
        <w:tc>
          <w:tcPr>
            <w:tcW w:w="1466" w:type="dxa"/>
            <w:tcBorders>
              <w:bottom w:val="single" w:color="000000" w:sz="12" w:space="0"/>
            </w:tcBorders>
            <w:vAlign w:val="top"/>
          </w:tcPr>
          <w:p>
            <w:pPr>
              <w:spacing w:line="283" w:lineRule="auto"/>
              <w:rPr>
                <w:rFonts w:ascii="宋体"/>
                <w:sz w:val="21"/>
              </w:rPr>
            </w:pPr>
          </w:p>
          <w:p>
            <w:pPr>
              <w:spacing w:line="283" w:lineRule="auto"/>
              <w:rPr>
                <w:rFonts w:ascii="宋体"/>
                <w:sz w:val="21"/>
              </w:rPr>
            </w:pPr>
          </w:p>
          <w:p>
            <w:pPr>
              <w:spacing w:line="284" w:lineRule="auto"/>
              <w:rPr>
                <w:rFonts w:ascii="宋体"/>
                <w:sz w:val="21"/>
              </w:rPr>
            </w:pPr>
          </w:p>
          <w:p>
            <w:pPr>
              <w:spacing w:before="68" w:line="239" w:lineRule="auto"/>
              <w:ind w:left="411" w:right="112" w:hanging="313"/>
              <w:rPr>
                <w:rFonts w:ascii="宋体" w:hAnsi="宋体" w:eastAsia="宋体" w:cs="宋体"/>
                <w:sz w:val="21"/>
                <w:szCs w:val="21"/>
              </w:rPr>
            </w:pPr>
            <w:r>
              <w:rPr>
                <w:rFonts w:ascii="宋体" w:hAnsi="宋体" w:eastAsia="宋体" w:cs="宋体"/>
                <w:spacing w:val="-2"/>
                <w:sz w:val="21"/>
                <w:szCs w:val="21"/>
              </w:rPr>
              <w:t>建设工程规划</w:t>
            </w:r>
            <w:r>
              <w:rPr>
                <w:rFonts w:ascii="宋体" w:hAnsi="宋体" w:eastAsia="宋体" w:cs="宋体"/>
                <w:spacing w:val="2"/>
                <w:sz w:val="21"/>
                <w:szCs w:val="21"/>
              </w:rPr>
              <w:t xml:space="preserve"> </w:t>
            </w:r>
            <w:r>
              <w:rPr>
                <w:rFonts w:ascii="宋体" w:hAnsi="宋体" w:eastAsia="宋体" w:cs="宋体"/>
                <w:spacing w:val="-2"/>
                <w:sz w:val="21"/>
                <w:szCs w:val="21"/>
              </w:rPr>
              <w:t>许可证</w:t>
            </w:r>
          </w:p>
        </w:tc>
        <w:tc>
          <w:tcPr>
            <w:tcW w:w="1980" w:type="dxa"/>
            <w:tcBorders>
              <w:bottom w:val="single" w:color="000000" w:sz="12" w:space="0"/>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884"/>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356" w:lineRule="auto"/>
              <w:jc w:val="both"/>
              <w:rPr>
                <w:rFonts w:ascii="宋体"/>
                <w:sz w:val="21"/>
              </w:rPr>
            </w:pPr>
          </w:p>
          <w:p>
            <w:pPr>
              <w:spacing w:before="68" w:line="246" w:lineRule="auto"/>
              <w:ind w:left="19" w:firstLine="1"/>
              <w:jc w:val="both"/>
              <w:rPr>
                <w:rFonts w:ascii="宋体" w:hAnsi="宋体" w:eastAsia="宋体" w:cs="宋体"/>
                <w:sz w:val="21"/>
                <w:szCs w:val="21"/>
              </w:rPr>
            </w:pPr>
            <w:r>
              <w:rPr>
                <w:rFonts w:ascii="宋体" w:hAnsi="宋体" w:eastAsia="宋体" w:cs="宋体"/>
                <w:spacing w:val="-10"/>
                <w:sz w:val="21"/>
                <w:szCs w:val="21"/>
              </w:rPr>
              <w:t>《中华人民共和国城乡规划法》第四十条：申请办理建设工程规划</w:t>
            </w:r>
            <w:r>
              <w:rPr>
                <w:rFonts w:ascii="宋体" w:hAnsi="宋体" w:eastAsia="宋体" w:cs="宋体"/>
                <w:sz w:val="21"/>
                <w:szCs w:val="21"/>
              </w:rPr>
              <w:t xml:space="preserve"> </w:t>
            </w:r>
            <w:r>
              <w:rPr>
                <w:rFonts w:ascii="宋体" w:hAnsi="宋体" w:eastAsia="宋体" w:cs="宋体"/>
                <w:spacing w:val="-8"/>
                <w:sz w:val="21"/>
                <w:szCs w:val="21"/>
              </w:rPr>
              <w:t>许可证，应当提交使用土地的有关证明文件、建设工程设计方案等</w:t>
            </w:r>
            <w:r>
              <w:rPr>
                <w:rFonts w:ascii="宋体" w:hAnsi="宋体" w:eastAsia="宋体" w:cs="宋体"/>
                <w:sz w:val="21"/>
                <w:szCs w:val="21"/>
              </w:rPr>
              <w:t xml:space="preserve"> </w:t>
            </w:r>
            <w:r>
              <w:rPr>
                <w:rFonts w:ascii="宋体" w:hAnsi="宋体" w:eastAsia="宋体" w:cs="宋体"/>
                <w:spacing w:val="-8"/>
                <w:sz w:val="21"/>
                <w:szCs w:val="21"/>
              </w:rPr>
              <w:t>材料。需要建设单位编制修建性详细规划的建设项目，还应当提交</w:t>
            </w:r>
            <w:r>
              <w:rPr>
                <w:rFonts w:ascii="宋体" w:hAnsi="宋体" w:eastAsia="宋体" w:cs="宋体"/>
                <w:sz w:val="21"/>
                <w:szCs w:val="21"/>
              </w:rPr>
              <w:t xml:space="preserve"> </w:t>
            </w:r>
            <w:r>
              <w:rPr>
                <w:rFonts w:ascii="宋体" w:hAnsi="宋体" w:eastAsia="宋体" w:cs="宋体"/>
                <w:spacing w:val="-3"/>
                <w:sz w:val="21"/>
                <w:szCs w:val="21"/>
              </w:rPr>
              <w:t>修建性详细规划。对符合控制性详细规划和规划条件的，由城市、</w:t>
            </w:r>
            <w:r>
              <w:rPr>
                <w:rFonts w:ascii="宋体" w:hAnsi="宋体" w:eastAsia="宋体" w:cs="宋体"/>
                <w:spacing w:val="15"/>
                <w:sz w:val="21"/>
                <w:szCs w:val="21"/>
              </w:rPr>
              <w:t xml:space="preserve"> </w:t>
            </w:r>
            <w:r>
              <w:rPr>
                <w:rFonts w:ascii="宋体" w:hAnsi="宋体" w:eastAsia="宋体" w:cs="宋体"/>
                <w:spacing w:val="-4"/>
                <w:sz w:val="21"/>
                <w:szCs w:val="21"/>
              </w:rPr>
              <w:t>县人民政府城乡规划主管部门或者省、自治区、直辖市人民政府确</w:t>
            </w:r>
            <w:r>
              <w:rPr>
                <w:rFonts w:ascii="宋体" w:hAnsi="宋体" w:eastAsia="宋体" w:cs="宋体"/>
                <w:spacing w:val="9"/>
                <w:sz w:val="21"/>
                <w:szCs w:val="21"/>
              </w:rPr>
              <w:t xml:space="preserve"> </w:t>
            </w:r>
            <w:r>
              <w:rPr>
                <w:rFonts w:ascii="宋体" w:hAnsi="宋体" w:eastAsia="宋体" w:cs="宋体"/>
                <w:spacing w:val="-3"/>
                <w:sz w:val="21"/>
                <w:szCs w:val="21"/>
              </w:rPr>
              <w:t>定的镇人民政府核发建设工程规划许可证。</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41"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1" w:hRule="atLeast"/>
        </w:trPr>
        <w:tc>
          <w:tcPr>
            <w:tcW w:w="1445" w:type="dxa"/>
            <w:tcBorders>
              <w:left w:val="single" w:color="000000" w:sz="12" w:space="0"/>
            </w:tcBorders>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47"/>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38</w:t>
            </w:r>
            <w:r>
              <w:rPr>
                <w:rFonts w:ascii="Times New Roman" w:hAnsi="Times New Roman" w:eastAsia="Times New Roman" w:cs="Times New Roman"/>
                <w:spacing w:val="-1"/>
                <w:sz w:val="21"/>
                <w:szCs w:val="21"/>
              </w:rPr>
              <w:t>.</w:t>
            </w:r>
            <w:r>
              <w:rPr>
                <w:rFonts w:ascii="宋体" w:hAnsi="宋体" w:eastAsia="宋体" w:cs="宋体"/>
                <w:spacing w:val="-1"/>
                <w:sz w:val="21"/>
                <w:szCs w:val="21"/>
              </w:rPr>
              <w:t>建设工程设</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计方案或者住</w:t>
            </w:r>
          </w:p>
          <w:p>
            <w:pPr>
              <w:spacing w:before="63" w:line="184" w:lineRule="auto"/>
              <w:ind w:firstLine="182"/>
              <w:rPr>
                <w:rFonts w:ascii="宋体" w:hAnsi="宋体" w:eastAsia="宋体" w:cs="宋体"/>
                <w:sz w:val="21"/>
                <w:szCs w:val="21"/>
              </w:rPr>
            </w:pPr>
            <w:r>
              <w:rPr>
                <w:rFonts w:ascii="宋体" w:hAnsi="宋体" w:eastAsia="宋体" w:cs="宋体"/>
                <w:spacing w:val="-2"/>
                <w:sz w:val="21"/>
                <w:szCs w:val="21"/>
              </w:rPr>
              <w:t>宅设计图件</w:t>
            </w:r>
          </w:p>
        </w:tc>
        <w:tc>
          <w:tcPr>
            <w:tcW w:w="1466" w:type="dxa"/>
            <w:vAlign w:val="top"/>
          </w:tcPr>
          <w:p>
            <w:pPr>
              <w:spacing w:line="292" w:lineRule="auto"/>
              <w:rPr>
                <w:rFonts w:ascii="宋体"/>
                <w:sz w:val="21"/>
              </w:rPr>
            </w:pPr>
          </w:p>
          <w:p>
            <w:pPr>
              <w:spacing w:line="292" w:lineRule="auto"/>
              <w:rPr>
                <w:rFonts w:ascii="宋体"/>
                <w:sz w:val="21"/>
              </w:rPr>
            </w:pPr>
          </w:p>
          <w:p>
            <w:pPr>
              <w:spacing w:line="292" w:lineRule="auto"/>
              <w:rPr>
                <w:rFonts w:ascii="宋体"/>
                <w:sz w:val="21"/>
              </w:rPr>
            </w:pPr>
          </w:p>
          <w:p>
            <w:pPr>
              <w:spacing w:line="292" w:lineRule="auto"/>
              <w:rPr>
                <w:rFonts w:ascii="宋体"/>
                <w:sz w:val="21"/>
              </w:rPr>
            </w:pPr>
          </w:p>
          <w:p>
            <w:pPr>
              <w:spacing w:before="68" w:line="239" w:lineRule="auto"/>
              <w:ind w:left="410" w:right="113" w:hanging="305"/>
              <w:rPr>
                <w:rFonts w:ascii="宋体" w:hAnsi="宋体" w:eastAsia="宋体" w:cs="宋体"/>
                <w:sz w:val="21"/>
                <w:szCs w:val="21"/>
              </w:rPr>
            </w:pPr>
            <w:r>
              <w:rPr>
                <w:rFonts w:ascii="宋体" w:hAnsi="宋体" w:eastAsia="宋体" w:cs="宋体"/>
                <w:spacing w:val="-3"/>
                <w:sz w:val="21"/>
                <w:szCs w:val="21"/>
              </w:rPr>
              <w:t>乡村建设规划</w:t>
            </w:r>
            <w:r>
              <w:rPr>
                <w:rFonts w:ascii="宋体" w:hAnsi="宋体" w:eastAsia="宋体" w:cs="宋体"/>
                <w:sz w:val="21"/>
                <w:szCs w:val="21"/>
              </w:rPr>
              <w:t xml:space="preserve"> </w:t>
            </w:r>
            <w:r>
              <w:rPr>
                <w:rFonts w:ascii="宋体" w:hAnsi="宋体" w:eastAsia="宋体" w:cs="宋体"/>
                <w:spacing w:val="-2"/>
                <w:sz w:val="21"/>
                <w:szCs w:val="21"/>
              </w:rPr>
              <w:t>许可证</w:t>
            </w:r>
          </w:p>
        </w:tc>
        <w:tc>
          <w:tcPr>
            <w:tcW w:w="1979"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line="275" w:lineRule="auto"/>
              <w:jc w:val="both"/>
              <w:rPr>
                <w:rFonts w:ascii="宋体"/>
                <w:sz w:val="21"/>
              </w:rPr>
            </w:pPr>
          </w:p>
          <w:p>
            <w:pPr>
              <w:spacing w:line="276" w:lineRule="auto"/>
              <w:jc w:val="both"/>
              <w:rPr>
                <w:rFonts w:ascii="宋体"/>
                <w:sz w:val="21"/>
              </w:rPr>
            </w:pPr>
          </w:p>
          <w:p>
            <w:pPr>
              <w:spacing w:before="68" w:line="246" w:lineRule="auto"/>
              <w:ind w:left="18" w:right="1" w:firstLine="2"/>
              <w:jc w:val="both"/>
              <w:rPr>
                <w:rFonts w:ascii="宋体" w:hAnsi="宋体" w:eastAsia="宋体" w:cs="宋体"/>
                <w:sz w:val="21"/>
                <w:szCs w:val="21"/>
              </w:rPr>
            </w:pPr>
            <w:r>
              <w:rPr>
                <w:rFonts w:ascii="宋体" w:hAnsi="宋体" w:eastAsia="宋体" w:cs="宋体"/>
                <w:spacing w:val="-8"/>
                <w:sz w:val="21"/>
                <w:szCs w:val="21"/>
              </w:rPr>
              <w:t>《山东省城乡规划条例》第五十六条：使用农村集体土地进行乡镇</w:t>
            </w:r>
            <w:r>
              <w:rPr>
                <w:rFonts w:ascii="宋体" w:hAnsi="宋体" w:eastAsia="宋体" w:cs="宋体"/>
                <w:sz w:val="21"/>
                <w:szCs w:val="21"/>
              </w:rPr>
              <w:t xml:space="preserve"> </w:t>
            </w:r>
            <w:r>
              <w:rPr>
                <w:rFonts w:ascii="宋体" w:hAnsi="宋体" w:eastAsia="宋体" w:cs="宋体"/>
                <w:spacing w:val="-8"/>
                <w:sz w:val="21"/>
                <w:szCs w:val="21"/>
              </w:rPr>
              <w:t>企业、新型农村社区、乡村公共设施和公益事业建设的，建设单位</w:t>
            </w:r>
            <w:r>
              <w:rPr>
                <w:rFonts w:ascii="宋体" w:hAnsi="宋体" w:eastAsia="宋体" w:cs="宋体"/>
                <w:sz w:val="21"/>
                <w:szCs w:val="21"/>
              </w:rPr>
              <w:t xml:space="preserve"> </w:t>
            </w:r>
            <w:r>
              <w:rPr>
                <w:rFonts w:ascii="宋体" w:hAnsi="宋体" w:eastAsia="宋体" w:cs="宋体"/>
                <w:spacing w:val="-6"/>
                <w:sz w:val="21"/>
                <w:szCs w:val="21"/>
              </w:rPr>
              <w:t>和个人应当持标明建设项目用地范围的地形图、建设项目规划设计</w:t>
            </w:r>
            <w:r>
              <w:rPr>
                <w:rFonts w:ascii="宋体" w:hAnsi="宋体" w:eastAsia="宋体" w:cs="宋体"/>
                <w:sz w:val="21"/>
                <w:szCs w:val="21"/>
              </w:rPr>
              <w:t xml:space="preserve"> </w:t>
            </w:r>
            <w:r>
              <w:rPr>
                <w:rFonts w:ascii="宋体" w:hAnsi="宋体" w:eastAsia="宋体" w:cs="宋体"/>
                <w:spacing w:val="-7"/>
                <w:sz w:val="21"/>
                <w:szCs w:val="21"/>
              </w:rPr>
              <w:t>方案、建设工程设计方案、建设项目所在地村（居）民委员会同意</w:t>
            </w:r>
            <w:r>
              <w:rPr>
                <w:rFonts w:ascii="宋体" w:hAnsi="宋体" w:eastAsia="宋体" w:cs="宋体"/>
                <w:sz w:val="21"/>
                <w:szCs w:val="21"/>
              </w:rPr>
              <w:t xml:space="preserve"> </w:t>
            </w:r>
            <w:r>
              <w:rPr>
                <w:rFonts w:ascii="宋体" w:hAnsi="宋体" w:eastAsia="宋体" w:cs="宋体"/>
                <w:spacing w:val="-8"/>
                <w:sz w:val="21"/>
                <w:szCs w:val="21"/>
              </w:rPr>
              <w:t>建设的书面意见等材料，向乡、镇人民政府或者街道办事处提出申</w:t>
            </w:r>
            <w:r>
              <w:rPr>
                <w:rFonts w:ascii="宋体" w:hAnsi="宋体" w:eastAsia="宋体" w:cs="宋体"/>
                <w:sz w:val="21"/>
                <w:szCs w:val="21"/>
              </w:rPr>
              <w:t xml:space="preserve"> </w:t>
            </w:r>
            <w:r>
              <w:rPr>
                <w:rFonts w:ascii="宋体" w:hAnsi="宋体" w:eastAsia="宋体" w:cs="宋体"/>
                <w:spacing w:val="-8"/>
                <w:sz w:val="21"/>
                <w:szCs w:val="21"/>
              </w:rPr>
              <w:t>请，由乡、镇人民政府或者街道办事处报城市、县城乡规划主管部</w:t>
            </w:r>
            <w:r>
              <w:rPr>
                <w:rFonts w:ascii="宋体" w:hAnsi="宋体" w:eastAsia="宋体" w:cs="宋体"/>
                <w:sz w:val="21"/>
                <w:szCs w:val="21"/>
              </w:rPr>
              <w:t xml:space="preserve"> </w:t>
            </w:r>
            <w:r>
              <w:rPr>
                <w:rFonts w:ascii="宋体" w:hAnsi="宋体" w:eastAsia="宋体" w:cs="宋体"/>
                <w:spacing w:val="-3"/>
                <w:sz w:val="21"/>
                <w:szCs w:val="21"/>
              </w:rPr>
              <w:t>门核发乡村建设规划许可证。</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445" w:type="dxa"/>
            <w:tcBorders>
              <w:left w:val="single" w:color="000000" w:sz="12" w:space="0"/>
              <w:bottom w:val="single" w:color="000000" w:sz="12" w:space="0"/>
            </w:tcBorders>
            <w:vAlign w:val="top"/>
          </w:tcPr>
          <w:p>
            <w:pPr>
              <w:spacing w:line="284" w:lineRule="auto"/>
              <w:rPr>
                <w:rFonts w:ascii="宋体"/>
                <w:sz w:val="21"/>
              </w:rPr>
            </w:pPr>
          </w:p>
          <w:p>
            <w:pPr>
              <w:spacing w:line="284" w:lineRule="auto"/>
              <w:rPr>
                <w:rFonts w:ascii="宋体"/>
                <w:sz w:val="21"/>
              </w:rPr>
            </w:pPr>
          </w:p>
          <w:p>
            <w:pPr>
              <w:spacing w:line="284" w:lineRule="auto"/>
              <w:rPr>
                <w:rFonts w:ascii="宋体"/>
                <w:sz w:val="21"/>
              </w:rPr>
            </w:pPr>
          </w:p>
          <w:p>
            <w:pPr>
              <w:spacing w:line="285" w:lineRule="auto"/>
              <w:rPr>
                <w:rFonts w:ascii="宋体"/>
                <w:sz w:val="21"/>
              </w:rPr>
            </w:pPr>
          </w:p>
          <w:p>
            <w:pPr>
              <w:spacing w:before="69" w:line="184" w:lineRule="auto"/>
              <w:ind w:firstLine="47"/>
              <w:rPr>
                <w:rFonts w:ascii="宋体" w:hAnsi="宋体" w:eastAsia="宋体" w:cs="宋体"/>
                <w:sz w:val="21"/>
                <w:szCs w:val="21"/>
              </w:rPr>
            </w:pPr>
            <w:r>
              <w:rPr>
                <w:rFonts w:hint="eastAsia" w:ascii="Times New Roman" w:hAnsi="Times New Roman" w:eastAsia="宋体" w:cs="Times New Roman"/>
                <w:spacing w:val="-1"/>
                <w:sz w:val="21"/>
                <w:szCs w:val="21"/>
                <w:lang w:val="en-US" w:eastAsia="zh-CN"/>
              </w:rPr>
              <w:t>39</w:t>
            </w:r>
            <w:r>
              <w:rPr>
                <w:rFonts w:ascii="Times New Roman" w:hAnsi="Times New Roman" w:eastAsia="Times New Roman" w:cs="Times New Roman"/>
                <w:spacing w:val="-1"/>
                <w:sz w:val="21"/>
                <w:szCs w:val="21"/>
              </w:rPr>
              <w:t>.</w:t>
            </w:r>
            <w:r>
              <w:rPr>
                <w:rFonts w:ascii="宋体" w:hAnsi="宋体" w:eastAsia="宋体" w:cs="宋体"/>
                <w:spacing w:val="-1"/>
                <w:sz w:val="21"/>
                <w:szCs w:val="21"/>
              </w:rPr>
              <w:t>无公害农产</w:t>
            </w:r>
          </w:p>
          <w:p>
            <w:pPr>
              <w:spacing w:before="63" w:line="184" w:lineRule="auto"/>
              <w:ind w:firstLine="96"/>
              <w:rPr>
                <w:rFonts w:ascii="宋体" w:hAnsi="宋体" w:eastAsia="宋体" w:cs="宋体"/>
                <w:sz w:val="21"/>
                <w:szCs w:val="21"/>
              </w:rPr>
            </w:pPr>
            <w:r>
              <w:rPr>
                <w:rFonts w:ascii="宋体" w:hAnsi="宋体" w:eastAsia="宋体" w:cs="宋体"/>
                <w:spacing w:val="-4"/>
                <w:sz w:val="21"/>
                <w:szCs w:val="21"/>
              </w:rPr>
              <w:t>品检测报告和</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产地环境检测</w:t>
            </w:r>
          </w:p>
          <w:p>
            <w:pPr>
              <w:spacing w:before="63" w:line="184" w:lineRule="auto"/>
              <w:ind w:firstLine="497"/>
              <w:rPr>
                <w:rFonts w:ascii="宋体" w:hAnsi="宋体" w:eastAsia="宋体" w:cs="宋体"/>
                <w:sz w:val="21"/>
                <w:szCs w:val="21"/>
              </w:rPr>
            </w:pPr>
            <w:r>
              <w:rPr>
                <w:rFonts w:ascii="宋体" w:hAnsi="宋体" w:eastAsia="宋体" w:cs="宋体"/>
                <w:spacing w:val="-2"/>
                <w:sz w:val="21"/>
                <w:szCs w:val="21"/>
              </w:rPr>
              <w:t>报告</w:t>
            </w:r>
          </w:p>
        </w:tc>
        <w:tc>
          <w:tcPr>
            <w:tcW w:w="1466" w:type="dxa"/>
            <w:tcBorders>
              <w:bottom w:val="single" w:color="000000" w:sz="12" w:space="0"/>
            </w:tcBorders>
            <w:vAlign w:val="top"/>
          </w:tcPr>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8" w:line="239" w:lineRule="auto"/>
              <w:ind w:left="516" w:right="113" w:hanging="420"/>
              <w:rPr>
                <w:rFonts w:ascii="宋体" w:hAnsi="宋体" w:eastAsia="宋体" w:cs="宋体"/>
                <w:sz w:val="21"/>
                <w:szCs w:val="21"/>
              </w:rPr>
            </w:pPr>
            <w:r>
              <w:rPr>
                <w:rFonts w:ascii="宋体" w:hAnsi="宋体" w:eastAsia="宋体" w:cs="宋体"/>
                <w:spacing w:val="-2"/>
                <w:sz w:val="21"/>
                <w:szCs w:val="21"/>
              </w:rPr>
              <w:t>无公害畜产品</w:t>
            </w:r>
            <w:r>
              <w:rPr>
                <w:rFonts w:ascii="宋体" w:hAnsi="宋体" w:eastAsia="宋体" w:cs="宋体"/>
                <w:spacing w:val="3"/>
                <w:sz w:val="21"/>
                <w:szCs w:val="21"/>
              </w:rPr>
              <w:t xml:space="preserve"> </w:t>
            </w:r>
            <w:r>
              <w:rPr>
                <w:rFonts w:ascii="宋体" w:hAnsi="宋体" w:eastAsia="宋体" w:cs="宋体"/>
                <w:spacing w:val="-3"/>
                <w:sz w:val="21"/>
                <w:szCs w:val="21"/>
              </w:rPr>
              <w:t>认证</w:t>
            </w:r>
          </w:p>
        </w:tc>
        <w:tc>
          <w:tcPr>
            <w:tcW w:w="1979" w:type="dxa"/>
            <w:tcBorders>
              <w:bottom w:val="single" w:color="000000" w:sz="12" w:space="0"/>
            </w:tcBorders>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8" w:line="184" w:lineRule="auto"/>
              <w:ind w:firstLine="265"/>
              <w:rPr>
                <w:rFonts w:ascii="宋体" w:hAnsi="宋体" w:eastAsia="宋体" w:cs="宋体"/>
                <w:sz w:val="21"/>
                <w:szCs w:val="21"/>
              </w:rPr>
            </w:pPr>
            <w:r>
              <w:rPr>
                <w:rFonts w:ascii="宋体" w:hAnsi="宋体" w:eastAsia="宋体" w:cs="宋体"/>
                <w:spacing w:val="-2"/>
                <w:sz w:val="21"/>
                <w:szCs w:val="21"/>
              </w:rPr>
              <w:t>其他权力</w:t>
            </w:r>
          </w:p>
        </w:tc>
        <w:tc>
          <w:tcPr>
            <w:tcW w:w="6043" w:type="dxa"/>
            <w:tcBorders>
              <w:bottom w:val="single" w:color="000000" w:sz="12" w:space="0"/>
            </w:tcBorders>
            <w:vAlign w:val="center"/>
          </w:tcPr>
          <w:p>
            <w:pPr>
              <w:spacing w:before="68" w:line="246" w:lineRule="auto"/>
              <w:ind w:right="1"/>
              <w:jc w:val="both"/>
              <w:rPr>
                <w:rFonts w:ascii="宋体" w:hAnsi="宋体" w:eastAsia="宋体" w:cs="宋体"/>
                <w:spacing w:val="-6"/>
                <w:sz w:val="21"/>
                <w:szCs w:val="21"/>
              </w:rPr>
            </w:pPr>
            <w:r>
              <w:rPr>
                <w:rFonts w:ascii="宋体" w:hAnsi="宋体" w:eastAsia="宋体" w:cs="宋体"/>
                <w:spacing w:val="-6"/>
                <w:sz w:val="21"/>
                <w:szCs w:val="21"/>
              </w:rPr>
              <w:t>1.《无公害农产品管理办法》第十八条：现场检查符合要求的， 应当通知申请人委托具有资质资格的检测机构，对产地环境进行检 测。承担产地环境检测任务的机构， 根据检测结果出具产地环境检 测报告。第二十五条：承担产品检测任务的机构，根据检测结果出具产品检测报告。</w:t>
            </w:r>
          </w:p>
          <w:p>
            <w:pPr>
              <w:spacing w:before="68" w:line="246" w:lineRule="auto"/>
              <w:ind w:left="18" w:right="1" w:firstLine="2"/>
              <w:jc w:val="both"/>
              <w:rPr>
                <w:rFonts w:ascii="宋体" w:hAnsi="宋体" w:eastAsia="宋体" w:cs="宋体"/>
                <w:sz w:val="21"/>
                <w:szCs w:val="21"/>
              </w:rPr>
            </w:pPr>
            <w:r>
              <w:rPr>
                <w:rFonts w:ascii="宋体" w:hAnsi="宋体" w:eastAsia="宋体" w:cs="宋体"/>
                <w:spacing w:val="-6"/>
                <w:sz w:val="21"/>
                <w:szCs w:val="21"/>
              </w:rPr>
              <w:t>2.《无公害农产品认定暂行办法》第七条：承担无公害农产品产地 环境和产品检测工作的机构，应当具备相应的检测条件和能力，并依法经过资质认定，熟悉无公害农产品标准规范。</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2"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9" w:hRule="atLeast"/>
        </w:trPr>
        <w:tc>
          <w:tcPr>
            <w:tcW w:w="1445" w:type="dxa"/>
            <w:tcBorders>
              <w:left w:val="single" w:color="000000" w:sz="12" w:space="0"/>
              <w:bottom w:val="single" w:color="000000" w:sz="12" w:space="0"/>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9"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0</w:t>
            </w:r>
            <w:r>
              <w:rPr>
                <w:rFonts w:ascii="Times New Roman" w:hAnsi="Times New Roman" w:eastAsia="Times New Roman" w:cs="Times New Roman"/>
                <w:spacing w:val="-1"/>
                <w:sz w:val="21"/>
                <w:szCs w:val="21"/>
              </w:rPr>
              <w:t>.</w:t>
            </w:r>
            <w:r>
              <w:rPr>
                <w:rFonts w:ascii="宋体" w:hAnsi="宋体" w:eastAsia="宋体" w:cs="宋体"/>
                <w:spacing w:val="-1"/>
                <w:sz w:val="21"/>
                <w:szCs w:val="21"/>
              </w:rPr>
              <w:t>医疗机构放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射性职业病危</w:t>
            </w:r>
          </w:p>
          <w:p>
            <w:pPr>
              <w:spacing w:before="63" w:line="184" w:lineRule="auto"/>
              <w:ind w:firstLine="83"/>
              <w:rPr>
                <w:rFonts w:ascii="宋体" w:hAnsi="宋体" w:eastAsia="宋体" w:cs="宋体"/>
                <w:sz w:val="21"/>
                <w:szCs w:val="21"/>
              </w:rPr>
            </w:pPr>
            <w:r>
              <w:rPr>
                <w:rFonts w:ascii="宋体" w:hAnsi="宋体" w:eastAsia="宋体" w:cs="宋体"/>
                <w:spacing w:val="-2"/>
                <w:sz w:val="21"/>
                <w:szCs w:val="21"/>
              </w:rPr>
              <w:t>害建设项目预</w:t>
            </w:r>
          </w:p>
          <w:p>
            <w:pPr>
              <w:spacing w:before="63" w:line="184" w:lineRule="auto"/>
              <w:ind w:firstLine="288"/>
              <w:rPr>
                <w:rFonts w:ascii="宋体" w:hAnsi="宋体" w:eastAsia="宋体" w:cs="宋体"/>
                <w:sz w:val="21"/>
                <w:szCs w:val="21"/>
              </w:rPr>
            </w:pPr>
            <w:r>
              <w:rPr>
                <w:rFonts w:ascii="宋体" w:hAnsi="宋体" w:eastAsia="宋体" w:cs="宋体"/>
                <w:spacing w:val="-2"/>
                <w:sz w:val="21"/>
                <w:szCs w:val="21"/>
              </w:rPr>
              <w:t>评价报告</w:t>
            </w:r>
          </w:p>
        </w:tc>
        <w:tc>
          <w:tcPr>
            <w:tcW w:w="1466" w:type="dxa"/>
            <w:tcBorders>
              <w:bottom w:val="single" w:color="000000" w:sz="12" w:space="0"/>
            </w:tcBorders>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医疗机构放射</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性职业病危害</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建设项目预评</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价报告审核、竣</w:t>
            </w:r>
          </w:p>
          <w:p>
            <w:pPr>
              <w:spacing w:before="63" w:line="184" w:lineRule="auto"/>
              <w:ind w:firstLine="414"/>
              <w:rPr>
                <w:rFonts w:ascii="宋体" w:hAnsi="宋体" w:eastAsia="宋体" w:cs="宋体"/>
                <w:sz w:val="21"/>
                <w:szCs w:val="21"/>
              </w:rPr>
            </w:pPr>
            <w:r>
              <w:rPr>
                <w:rFonts w:ascii="宋体" w:hAnsi="宋体" w:eastAsia="宋体" w:cs="宋体"/>
                <w:spacing w:val="-3"/>
                <w:sz w:val="21"/>
                <w:szCs w:val="21"/>
              </w:rPr>
              <w:t>工验收</w:t>
            </w:r>
          </w:p>
        </w:tc>
        <w:tc>
          <w:tcPr>
            <w:tcW w:w="1977" w:type="dxa"/>
            <w:tcBorders>
              <w:bottom w:val="single" w:color="000000" w:sz="12" w:space="0"/>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before="69" w:line="184" w:lineRule="auto"/>
              <w:ind w:firstLine="53"/>
              <w:rPr>
                <w:rFonts w:ascii="宋体" w:hAnsi="宋体" w:eastAsia="宋体" w:cs="宋体"/>
                <w:sz w:val="21"/>
                <w:szCs w:val="21"/>
              </w:rPr>
            </w:pPr>
            <w:r>
              <w:rPr>
                <w:rFonts w:ascii="宋体" w:hAnsi="宋体" w:eastAsia="宋体" w:cs="宋体"/>
                <w:spacing w:val="-2"/>
                <w:sz w:val="21"/>
                <w:szCs w:val="21"/>
              </w:rPr>
              <w:t>医疗机构放射性职业</w:t>
            </w:r>
          </w:p>
          <w:p>
            <w:pPr>
              <w:spacing w:before="63" w:line="184" w:lineRule="auto"/>
              <w:ind w:firstLine="42"/>
              <w:rPr>
                <w:rFonts w:ascii="宋体" w:hAnsi="宋体" w:eastAsia="宋体" w:cs="宋体"/>
                <w:sz w:val="21"/>
                <w:szCs w:val="21"/>
              </w:rPr>
            </w:pPr>
            <w:r>
              <w:rPr>
                <w:rFonts w:ascii="宋体" w:hAnsi="宋体" w:eastAsia="宋体" w:cs="宋体"/>
                <w:spacing w:val="-1"/>
                <w:sz w:val="21"/>
                <w:szCs w:val="21"/>
              </w:rPr>
              <w:t>病危害建设项目预评</w:t>
            </w:r>
          </w:p>
          <w:p>
            <w:pPr>
              <w:spacing w:before="63" w:line="184" w:lineRule="auto"/>
              <w:ind w:firstLine="464"/>
              <w:rPr>
                <w:rFonts w:ascii="宋体" w:hAnsi="宋体" w:eastAsia="宋体" w:cs="宋体"/>
                <w:sz w:val="21"/>
                <w:szCs w:val="21"/>
              </w:rPr>
            </w:pPr>
            <w:r>
              <w:rPr>
                <w:rFonts w:ascii="宋体" w:hAnsi="宋体" w:eastAsia="宋体" w:cs="宋体"/>
                <w:spacing w:val="-2"/>
                <w:sz w:val="21"/>
                <w:szCs w:val="21"/>
              </w:rPr>
              <w:t>价报告审核</w:t>
            </w:r>
          </w:p>
        </w:tc>
        <w:tc>
          <w:tcPr>
            <w:tcW w:w="1365" w:type="dxa"/>
            <w:tcBorders>
              <w:bottom w:val="single" w:color="000000" w:sz="12" w:space="0"/>
            </w:tcBorders>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304" w:lineRule="auto"/>
              <w:rPr>
                <w:rFonts w:ascii="宋体"/>
                <w:sz w:val="21"/>
              </w:rPr>
            </w:pPr>
          </w:p>
          <w:p>
            <w:pPr>
              <w:spacing w:line="305"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68" w:line="280" w:lineRule="exact"/>
              <w:ind w:left="17" w:firstLine="17"/>
              <w:textAlignment w:val="baseline"/>
              <w:rPr>
                <w:rFonts w:ascii="宋体" w:hAnsi="宋体" w:eastAsia="宋体" w:cs="宋体"/>
                <w:sz w:val="21"/>
                <w:szCs w:val="21"/>
              </w:rPr>
            </w:pPr>
            <w:r>
              <w:rPr>
                <w:rFonts w:ascii="宋体" w:hAnsi="宋体" w:eastAsia="宋体" w:cs="宋体"/>
                <w:spacing w:val="-6"/>
                <w:sz w:val="21"/>
                <w:szCs w:val="21"/>
              </w:rPr>
              <w:t>1.《职业病防治法》第十七条：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 职业病危害因素及其对工作场所和劳动者健康的影响作出评价，确定危害类别和职业病防护措施。                               2.《职业卫生技术服务机构管理办法》第四条：国家对职业卫生技术服务机构实行资质认可制度。职业卫生技术服务机构应当依照本办法取得职业卫生技术服务机构资质；未取得职业卫生技术服务机构资质的，不得从事职业卫生检测、评价技术服务。             3.《山东省卫计委关于进一步加强放射诊疗建设项目卫生审查和放 射卫生技术服务机构监管工作的通知》（鲁卫发〔2017〕10 号） 第二条：放射性职业病危害预评价、控制效果评价应当具有相应资 质的放射卫生技术服务机构承担。</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348"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4"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5" w:hRule="atLeast"/>
        </w:trPr>
        <w:tc>
          <w:tcPr>
            <w:tcW w:w="1445" w:type="dxa"/>
            <w:tcBorders>
              <w:left w:val="single" w:color="000000" w:sz="12" w:space="0"/>
              <w:bottom w:val="single" w:color="000000" w:sz="12" w:space="0"/>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1</w:t>
            </w:r>
            <w:r>
              <w:rPr>
                <w:rFonts w:ascii="Times New Roman" w:hAnsi="Times New Roman" w:eastAsia="Times New Roman" w:cs="Times New Roman"/>
                <w:spacing w:val="-1"/>
                <w:sz w:val="21"/>
                <w:szCs w:val="21"/>
              </w:rPr>
              <w:t>.</w:t>
            </w:r>
            <w:r>
              <w:rPr>
                <w:rFonts w:ascii="宋体" w:hAnsi="宋体" w:eastAsia="宋体" w:cs="宋体"/>
                <w:spacing w:val="-1"/>
                <w:sz w:val="21"/>
                <w:szCs w:val="21"/>
              </w:rPr>
              <w:t>医疗机构放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射性职业病危</w:t>
            </w:r>
          </w:p>
          <w:p>
            <w:pPr>
              <w:spacing w:before="63" w:line="184" w:lineRule="auto"/>
              <w:ind w:firstLine="83"/>
              <w:rPr>
                <w:rFonts w:ascii="宋体" w:hAnsi="宋体" w:eastAsia="宋体" w:cs="宋体"/>
                <w:sz w:val="21"/>
                <w:szCs w:val="21"/>
              </w:rPr>
            </w:pPr>
            <w:r>
              <w:rPr>
                <w:rFonts w:ascii="宋体" w:hAnsi="宋体" w:eastAsia="宋体" w:cs="宋体"/>
                <w:spacing w:val="-2"/>
                <w:sz w:val="21"/>
                <w:szCs w:val="21"/>
              </w:rPr>
              <w:t>害建设项目放</w:t>
            </w:r>
          </w:p>
          <w:p>
            <w:pPr>
              <w:spacing w:before="63" w:line="184" w:lineRule="auto"/>
              <w:ind w:firstLine="77"/>
              <w:rPr>
                <w:rFonts w:ascii="宋体" w:hAnsi="宋体" w:eastAsia="宋体" w:cs="宋体"/>
                <w:sz w:val="21"/>
                <w:szCs w:val="21"/>
              </w:rPr>
            </w:pPr>
            <w:r>
              <w:rPr>
                <w:rFonts w:ascii="宋体" w:hAnsi="宋体" w:eastAsia="宋体" w:cs="宋体"/>
                <w:spacing w:val="-1"/>
                <w:sz w:val="21"/>
                <w:szCs w:val="21"/>
              </w:rPr>
              <w:t>射防护效果评</w:t>
            </w:r>
          </w:p>
          <w:p>
            <w:pPr>
              <w:spacing w:before="63" w:line="184" w:lineRule="auto"/>
              <w:ind w:firstLine="394"/>
              <w:rPr>
                <w:rFonts w:ascii="宋体" w:hAnsi="宋体" w:eastAsia="宋体" w:cs="宋体"/>
                <w:sz w:val="21"/>
                <w:szCs w:val="21"/>
              </w:rPr>
            </w:pPr>
            <w:r>
              <w:rPr>
                <w:rFonts w:ascii="宋体" w:hAnsi="宋体" w:eastAsia="宋体" w:cs="宋体"/>
                <w:spacing w:val="-3"/>
                <w:sz w:val="21"/>
                <w:szCs w:val="21"/>
              </w:rPr>
              <w:t>价报告</w:t>
            </w:r>
          </w:p>
        </w:tc>
        <w:tc>
          <w:tcPr>
            <w:tcW w:w="1466" w:type="dxa"/>
            <w:tcBorders>
              <w:bottom w:val="single" w:color="000000" w:sz="12" w:space="0"/>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医疗机构放射</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性职业病危害</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建设项目预评</w:t>
            </w:r>
          </w:p>
          <w:p>
            <w:pPr>
              <w:spacing w:before="63" w:line="184" w:lineRule="auto"/>
              <w:ind w:firstLine="8"/>
              <w:rPr>
                <w:rFonts w:ascii="宋体" w:hAnsi="宋体" w:eastAsia="宋体" w:cs="宋体"/>
                <w:sz w:val="21"/>
                <w:szCs w:val="21"/>
              </w:rPr>
            </w:pPr>
            <w:r>
              <w:rPr>
                <w:rFonts w:ascii="宋体" w:hAnsi="宋体" w:eastAsia="宋体" w:cs="宋体"/>
                <w:spacing w:val="-6"/>
                <w:sz w:val="21"/>
                <w:szCs w:val="21"/>
              </w:rPr>
              <w:t>价报告审核、竣</w:t>
            </w:r>
          </w:p>
          <w:p>
            <w:pPr>
              <w:spacing w:before="63" w:line="184" w:lineRule="auto"/>
              <w:ind w:firstLine="414"/>
              <w:rPr>
                <w:rFonts w:ascii="宋体" w:hAnsi="宋体" w:eastAsia="宋体" w:cs="宋体"/>
                <w:sz w:val="21"/>
                <w:szCs w:val="21"/>
              </w:rPr>
            </w:pPr>
            <w:r>
              <w:rPr>
                <w:rFonts w:ascii="宋体" w:hAnsi="宋体" w:eastAsia="宋体" w:cs="宋体"/>
                <w:spacing w:val="-3"/>
                <w:sz w:val="21"/>
                <w:szCs w:val="21"/>
              </w:rPr>
              <w:t>工验收</w:t>
            </w:r>
          </w:p>
        </w:tc>
        <w:tc>
          <w:tcPr>
            <w:tcW w:w="1977"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8" w:line="184" w:lineRule="auto"/>
              <w:ind w:firstLine="53"/>
              <w:rPr>
                <w:rFonts w:ascii="宋体" w:hAnsi="宋体" w:eastAsia="宋体" w:cs="宋体"/>
                <w:sz w:val="21"/>
                <w:szCs w:val="21"/>
              </w:rPr>
            </w:pPr>
            <w:r>
              <w:rPr>
                <w:rFonts w:ascii="宋体" w:hAnsi="宋体" w:eastAsia="宋体" w:cs="宋体"/>
                <w:spacing w:val="-2"/>
                <w:sz w:val="21"/>
                <w:szCs w:val="21"/>
              </w:rPr>
              <w:t>医疗机构放射性职业</w:t>
            </w:r>
          </w:p>
          <w:p>
            <w:pPr>
              <w:spacing w:before="63" w:line="184" w:lineRule="auto"/>
              <w:ind w:firstLine="42"/>
              <w:rPr>
                <w:rFonts w:ascii="宋体" w:hAnsi="宋体" w:eastAsia="宋体" w:cs="宋体"/>
                <w:sz w:val="21"/>
                <w:szCs w:val="21"/>
              </w:rPr>
            </w:pPr>
            <w:r>
              <w:rPr>
                <w:rFonts w:ascii="宋体" w:hAnsi="宋体" w:eastAsia="宋体" w:cs="宋体"/>
                <w:spacing w:val="-1"/>
                <w:sz w:val="21"/>
                <w:szCs w:val="21"/>
              </w:rPr>
              <w:t>病危害建设项目竣工</w:t>
            </w:r>
          </w:p>
          <w:p>
            <w:pPr>
              <w:spacing w:before="63" w:line="184" w:lineRule="auto"/>
              <w:ind w:firstLine="778"/>
              <w:rPr>
                <w:rFonts w:ascii="宋体" w:hAnsi="宋体" w:eastAsia="宋体" w:cs="宋体"/>
                <w:sz w:val="21"/>
                <w:szCs w:val="21"/>
              </w:rPr>
            </w:pPr>
            <w:r>
              <w:rPr>
                <w:rFonts w:ascii="宋体" w:hAnsi="宋体" w:eastAsia="宋体" w:cs="宋体"/>
                <w:spacing w:val="-2"/>
                <w:sz w:val="21"/>
                <w:szCs w:val="21"/>
              </w:rPr>
              <w:t>验收</w:t>
            </w:r>
          </w:p>
        </w:tc>
        <w:tc>
          <w:tcPr>
            <w:tcW w:w="1365"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69"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before="68" w:line="229" w:lineRule="auto"/>
              <w:ind w:left="17" w:firstLine="19"/>
              <w:jc w:val="both"/>
              <w:rPr>
                <w:rFonts w:ascii="宋体" w:hAnsi="宋体" w:eastAsia="宋体" w:cs="宋体"/>
                <w:spacing w:val="-6"/>
                <w:sz w:val="21"/>
                <w:szCs w:val="21"/>
              </w:rPr>
            </w:pPr>
            <w:r>
              <w:rPr>
                <w:rFonts w:ascii="宋体" w:hAnsi="宋体" w:eastAsia="宋体" w:cs="宋体"/>
                <w:spacing w:val="-6"/>
                <w:sz w:val="21"/>
                <w:szCs w:val="21"/>
              </w:rPr>
              <w:t>1.《职业病防治法》第十八条：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 施应当由建设单位负责依法组织验收，验收合格后，方可投入生产和使用。卫生行政部门应当加强对建设单位组织的验收活动和验收 结果的监督核查。</w:t>
            </w:r>
          </w:p>
          <w:p>
            <w:pPr>
              <w:spacing w:before="68" w:line="229" w:lineRule="auto"/>
              <w:ind w:left="17" w:firstLine="19"/>
              <w:jc w:val="both"/>
              <w:rPr>
                <w:rFonts w:ascii="宋体" w:hAnsi="宋体" w:eastAsia="宋体" w:cs="宋体"/>
                <w:spacing w:val="-6"/>
                <w:sz w:val="21"/>
                <w:szCs w:val="21"/>
              </w:rPr>
            </w:pPr>
            <w:r>
              <w:rPr>
                <w:rFonts w:ascii="宋体" w:hAnsi="宋体" w:eastAsia="宋体" w:cs="宋体"/>
                <w:spacing w:val="-6"/>
                <w:sz w:val="21"/>
                <w:szCs w:val="21"/>
              </w:rPr>
              <w:t xml:space="preserve">2.《职业卫生技术服务机构管理办法》第四条：国家对职业卫生技术服务机构实行资质认可制度。职业卫生技术服务机构应当依照 办法取得职业卫生技术服务机构资质；取得职业卫生技术服务机构资质的，不得从事职业卫生检测、评价技术服务。            </w:t>
            </w:r>
          </w:p>
          <w:p>
            <w:pPr>
              <w:spacing w:before="68" w:line="229" w:lineRule="auto"/>
              <w:ind w:left="17" w:firstLine="19"/>
              <w:jc w:val="both"/>
              <w:rPr>
                <w:rFonts w:ascii="宋体" w:hAnsi="宋体" w:eastAsia="宋体" w:cs="宋体"/>
                <w:sz w:val="21"/>
                <w:szCs w:val="21"/>
              </w:rPr>
            </w:pPr>
            <w:r>
              <w:rPr>
                <w:rFonts w:ascii="宋体" w:hAnsi="宋体" w:eastAsia="宋体" w:cs="宋体"/>
                <w:spacing w:val="-6"/>
                <w:sz w:val="21"/>
                <w:szCs w:val="21"/>
              </w:rPr>
              <w:t>3.《山东省卫计委关于进一步加强放射诊疗建设项目卫生审查和放 射卫生技术服务机构监管工作的通知》 （鲁卫发〔2017〕10 号） 第二条：放射性职业病危害预评价、控制效果评价应当具有相应资质的放射卫生技术服务机构承担。</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3"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1445" w:type="dxa"/>
            <w:tcBorders>
              <w:left w:val="single" w:color="000000" w:sz="12" w:space="0"/>
            </w:tcBorders>
            <w:vAlign w:val="top"/>
          </w:tcPr>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8" w:line="184" w:lineRule="auto"/>
              <w:ind w:firstLine="47"/>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2</w:t>
            </w:r>
            <w:r>
              <w:rPr>
                <w:rFonts w:ascii="Times New Roman" w:hAnsi="Times New Roman" w:eastAsia="Times New Roman" w:cs="Times New Roman"/>
                <w:spacing w:val="-1"/>
                <w:sz w:val="21"/>
                <w:szCs w:val="21"/>
              </w:rPr>
              <w:t>.</w:t>
            </w:r>
            <w:r>
              <w:rPr>
                <w:rFonts w:ascii="宋体" w:hAnsi="宋体" w:eastAsia="宋体" w:cs="宋体"/>
                <w:spacing w:val="-1"/>
                <w:sz w:val="21"/>
                <w:szCs w:val="21"/>
              </w:rPr>
              <w:t>放射诊疗设</w:t>
            </w:r>
          </w:p>
          <w:p>
            <w:pPr>
              <w:spacing w:before="63" w:line="184" w:lineRule="auto"/>
              <w:ind w:firstLine="81"/>
              <w:rPr>
                <w:rFonts w:ascii="宋体" w:hAnsi="宋体" w:eastAsia="宋体" w:cs="宋体"/>
                <w:sz w:val="21"/>
                <w:szCs w:val="21"/>
              </w:rPr>
            </w:pPr>
            <w:r>
              <w:rPr>
                <w:rFonts w:ascii="宋体" w:hAnsi="宋体" w:eastAsia="宋体" w:cs="宋体"/>
                <w:spacing w:val="-2"/>
                <w:sz w:val="21"/>
                <w:szCs w:val="21"/>
              </w:rPr>
              <w:t>备性能与辐射</w:t>
            </w:r>
          </w:p>
          <w:p>
            <w:pPr>
              <w:spacing w:before="63" w:line="184" w:lineRule="auto"/>
              <w:ind w:firstLine="81"/>
              <w:rPr>
                <w:rFonts w:ascii="宋体" w:hAnsi="宋体" w:eastAsia="宋体" w:cs="宋体"/>
                <w:sz w:val="21"/>
                <w:szCs w:val="21"/>
              </w:rPr>
            </w:pPr>
            <w:r>
              <w:rPr>
                <w:rFonts w:ascii="宋体" w:hAnsi="宋体" w:eastAsia="宋体" w:cs="宋体"/>
                <w:spacing w:val="-2"/>
                <w:sz w:val="21"/>
                <w:szCs w:val="21"/>
              </w:rPr>
              <w:t>工作场所的检</w:t>
            </w:r>
          </w:p>
          <w:p>
            <w:pPr>
              <w:spacing w:before="63" w:line="184" w:lineRule="auto"/>
              <w:ind w:firstLine="394"/>
              <w:rPr>
                <w:rFonts w:ascii="宋体" w:hAnsi="宋体" w:eastAsia="宋体" w:cs="宋体"/>
                <w:sz w:val="21"/>
                <w:szCs w:val="21"/>
              </w:rPr>
            </w:pPr>
            <w:r>
              <w:rPr>
                <w:rFonts w:ascii="宋体" w:hAnsi="宋体" w:eastAsia="宋体" w:cs="宋体"/>
                <w:spacing w:val="-3"/>
                <w:sz w:val="21"/>
                <w:szCs w:val="21"/>
              </w:rPr>
              <w:t>测报告</w:t>
            </w:r>
          </w:p>
        </w:tc>
        <w:tc>
          <w:tcPr>
            <w:tcW w:w="1466" w:type="dxa"/>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放射源诊疗技</w:t>
            </w:r>
          </w:p>
          <w:p>
            <w:pPr>
              <w:spacing w:before="63" w:line="184" w:lineRule="auto"/>
              <w:ind w:firstLine="97"/>
              <w:rPr>
                <w:rFonts w:ascii="宋体" w:hAnsi="宋体" w:eastAsia="宋体" w:cs="宋体"/>
                <w:sz w:val="21"/>
                <w:szCs w:val="21"/>
              </w:rPr>
            </w:pPr>
            <w:r>
              <w:rPr>
                <w:rFonts w:ascii="宋体" w:hAnsi="宋体" w:eastAsia="宋体" w:cs="宋体"/>
                <w:spacing w:val="-2"/>
                <w:sz w:val="21"/>
                <w:szCs w:val="21"/>
              </w:rPr>
              <w:t>术和医用辐射</w:t>
            </w:r>
          </w:p>
          <w:p>
            <w:pPr>
              <w:spacing w:before="63" w:line="184" w:lineRule="auto"/>
              <w:ind w:firstLine="6"/>
              <w:rPr>
                <w:rFonts w:ascii="宋体" w:hAnsi="宋体" w:eastAsia="宋体" w:cs="宋体"/>
                <w:sz w:val="21"/>
                <w:szCs w:val="21"/>
              </w:rPr>
            </w:pPr>
            <w:r>
              <w:rPr>
                <w:rFonts w:ascii="宋体" w:hAnsi="宋体" w:eastAsia="宋体" w:cs="宋体"/>
                <w:spacing w:val="-6"/>
                <w:sz w:val="21"/>
                <w:szCs w:val="21"/>
              </w:rPr>
              <w:t>机构许可、校验</w:t>
            </w:r>
          </w:p>
        </w:tc>
        <w:tc>
          <w:tcPr>
            <w:tcW w:w="1979" w:type="dxa"/>
            <w:vAlign w:val="top"/>
          </w:tcPr>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229" w:lineRule="auto"/>
              <w:ind w:left="253" w:right="48" w:hanging="210"/>
              <w:rPr>
                <w:rFonts w:ascii="宋体" w:hAnsi="宋体" w:eastAsia="宋体" w:cs="宋体"/>
                <w:sz w:val="21"/>
                <w:szCs w:val="21"/>
              </w:rPr>
            </w:pPr>
            <w:r>
              <w:rPr>
                <w:rFonts w:ascii="宋体" w:hAnsi="宋体" w:eastAsia="宋体" w:cs="宋体"/>
                <w:spacing w:val="-1"/>
                <w:sz w:val="21"/>
                <w:szCs w:val="21"/>
              </w:rPr>
              <w:t>放射源诊疗技术和医</w:t>
            </w:r>
            <w:r>
              <w:rPr>
                <w:rFonts w:ascii="宋体" w:hAnsi="宋体" w:eastAsia="宋体" w:cs="宋体"/>
                <w:sz w:val="21"/>
                <w:szCs w:val="21"/>
              </w:rPr>
              <w:t xml:space="preserve"> </w:t>
            </w:r>
            <w:r>
              <w:rPr>
                <w:rFonts w:ascii="宋体" w:hAnsi="宋体" w:eastAsia="宋体" w:cs="宋体"/>
                <w:spacing w:val="-2"/>
                <w:sz w:val="21"/>
                <w:szCs w:val="21"/>
              </w:rPr>
              <w:t>用辐射机构校验</w:t>
            </w:r>
          </w:p>
        </w:tc>
        <w:tc>
          <w:tcPr>
            <w:tcW w:w="1364"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7" w:firstLine="19"/>
              <w:jc w:val="left"/>
              <w:textAlignment w:val="baseline"/>
              <w:rPr>
                <w:rFonts w:ascii="宋体" w:hAnsi="宋体" w:eastAsia="宋体" w:cs="宋体"/>
                <w:spacing w:val="-6"/>
                <w:sz w:val="21"/>
                <w:szCs w:val="21"/>
              </w:rPr>
            </w:pPr>
            <w:r>
              <w:rPr>
                <w:rFonts w:ascii="宋体" w:hAnsi="宋体" w:eastAsia="宋体" w:cs="宋体"/>
                <w:spacing w:val="-6"/>
                <w:sz w:val="21"/>
                <w:szCs w:val="21"/>
              </w:rPr>
              <w:t>1.《职业病防治法》第十九条：国家对从事放射性、高毒、高危粉尘等作业实行特殊管理。具体管理办法由国务院制定。          2.《放射性同位素与射线装置安全和防护条例》第八条：生产、销 售、使用放射性同位素和射线装置的单位，应当事先向有审批权的 生态环境主管部门提出许可申请，并提交符合本条例第七条规定条 件的证明材料。使用放射性同位素和射线装置进行放射诊疗的医疗 卫生机构，还应当获得放射源诊疗技术和医用辐射机构许可。    3.《放射诊疗管理规定》第十七条：《放射诊疗许可证》与《医疗 机构执业许可证》同时校验，申请校验时应当提交本周期有关放射 诊疗设备性能与辐射工作场所的检测报告、放射诊疗工作人员健康 监护资料和工作开展情况报告。                              4. 《放射诊疗管理规定》第二十条：医疗机构的放射诊疗设备和检 测仪表，应当符合下列要求：</w:t>
            </w:r>
          </w:p>
          <w:p>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ascii="宋体" w:hAnsi="宋体" w:eastAsia="宋体" w:cs="宋体"/>
                <w:sz w:val="21"/>
                <w:szCs w:val="21"/>
              </w:rPr>
            </w:pPr>
            <w:r>
              <w:rPr>
                <w:rFonts w:ascii="宋体" w:hAnsi="宋体" w:eastAsia="宋体" w:cs="宋体"/>
                <w:spacing w:val="-6"/>
                <w:sz w:val="21"/>
                <w:szCs w:val="21"/>
              </w:rPr>
              <w:t>（一） 新安装、维修或更换重要部件后的设备，应当经省级以上卫 生行政部门资质认证的检测机构对其进行检测，合格后方可启用；（二）定期进行稳定性检测、校正和维护保养，由省级以上卫生行政部门资质认证的检测机构每年至少进行1次状态检测。</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1445" w:type="dxa"/>
            <w:tcBorders>
              <w:left w:val="single" w:color="000000" w:sz="12" w:space="0"/>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before="69"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3</w:t>
            </w:r>
            <w:r>
              <w:rPr>
                <w:rFonts w:ascii="Times New Roman" w:hAnsi="Times New Roman" w:eastAsia="Times New Roman" w:cs="Times New Roman"/>
                <w:spacing w:val="-1"/>
                <w:sz w:val="21"/>
                <w:szCs w:val="21"/>
              </w:rPr>
              <w:t>.</w:t>
            </w:r>
            <w:r>
              <w:rPr>
                <w:rFonts w:ascii="宋体" w:hAnsi="宋体" w:eastAsia="宋体" w:cs="宋体"/>
                <w:spacing w:val="-1"/>
                <w:sz w:val="21"/>
                <w:szCs w:val="21"/>
              </w:rPr>
              <w:t>资产评估</w:t>
            </w:r>
          </w:p>
        </w:tc>
        <w:tc>
          <w:tcPr>
            <w:tcW w:w="1466" w:type="dxa"/>
            <w:tcBorders>
              <w:bottom w:val="single" w:color="000000" w:sz="12" w:space="0"/>
            </w:tcBorders>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before="68" w:line="184" w:lineRule="auto"/>
              <w:ind w:firstLine="105"/>
              <w:rPr>
                <w:rFonts w:ascii="宋体" w:hAnsi="宋体" w:eastAsia="宋体" w:cs="宋体"/>
                <w:sz w:val="21"/>
                <w:szCs w:val="21"/>
              </w:rPr>
            </w:pPr>
            <w:r>
              <w:rPr>
                <w:rFonts w:ascii="宋体" w:hAnsi="宋体" w:eastAsia="宋体" w:cs="宋体"/>
                <w:spacing w:val="-3"/>
                <w:sz w:val="21"/>
                <w:szCs w:val="21"/>
              </w:rPr>
              <w:t>医疗机构设置</w:t>
            </w:r>
          </w:p>
          <w:p>
            <w:pPr>
              <w:spacing w:before="61" w:line="184" w:lineRule="auto"/>
              <w:ind w:firstLine="101"/>
              <w:rPr>
                <w:rFonts w:ascii="宋体" w:hAnsi="宋体" w:eastAsia="宋体" w:cs="宋体"/>
                <w:sz w:val="21"/>
                <w:szCs w:val="21"/>
              </w:rPr>
            </w:pPr>
            <w:r>
              <w:rPr>
                <w:rFonts w:ascii="宋体" w:hAnsi="宋体" w:eastAsia="宋体" w:cs="宋体"/>
                <w:spacing w:val="-2"/>
                <w:sz w:val="21"/>
                <w:szCs w:val="21"/>
              </w:rPr>
              <w:t>审批及执业登</w:t>
            </w:r>
          </w:p>
          <w:p>
            <w:pPr>
              <w:spacing w:before="63" w:line="184" w:lineRule="auto"/>
              <w:ind w:firstLine="306"/>
              <w:rPr>
                <w:rFonts w:ascii="宋体" w:hAnsi="宋体" w:eastAsia="宋体" w:cs="宋体"/>
                <w:sz w:val="21"/>
                <w:szCs w:val="21"/>
              </w:rPr>
            </w:pPr>
            <w:r>
              <w:rPr>
                <w:rFonts w:ascii="宋体" w:hAnsi="宋体" w:eastAsia="宋体" w:cs="宋体"/>
                <w:spacing w:val="-2"/>
                <w:sz w:val="21"/>
                <w:szCs w:val="21"/>
              </w:rPr>
              <w:t>记和校验</w:t>
            </w:r>
          </w:p>
        </w:tc>
        <w:tc>
          <w:tcPr>
            <w:tcW w:w="1979" w:type="dxa"/>
            <w:tcBorders>
              <w:bottom w:val="single" w:color="000000" w:sz="12" w:space="0"/>
            </w:tcBorders>
            <w:vAlign w:val="top"/>
          </w:tcPr>
          <w:p>
            <w:pPr>
              <w:spacing w:before="272" w:line="184" w:lineRule="auto"/>
              <w:ind w:firstLine="42"/>
              <w:rPr>
                <w:rFonts w:ascii="宋体" w:hAnsi="宋体" w:eastAsia="宋体" w:cs="宋体"/>
                <w:sz w:val="21"/>
                <w:szCs w:val="21"/>
              </w:rPr>
            </w:pPr>
            <w:r>
              <w:rPr>
                <w:rFonts w:ascii="宋体" w:hAnsi="宋体" w:eastAsia="宋体" w:cs="宋体"/>
                <w:spacing w:val="-1"/>
                <w:sz w:val="21"/>
                <w:szCs w:val="21"/>
              </w:rPr>
              <w:t>三级医院、三级妇幼</w:t>
            </w:r>
          </w:p>
          <w:p>
            <w:pPr>
              <w:spacing w:before="51" w:line="184" w:lineRule="auto"/>
              <w:ind w:firstLine="43"/>
              <w:rPr>
                <w:rFonts w:ascii="宋体" w:hAnsi="宋体" w:eastAsia="宋体" w:cs="宋体"/>
                <w:sz w:val="21"/>
                <w:szCs w:val="21"/>
              </w:rPr>
            </w:pPr>
            <w:r>
              <w:rPr>
                <w:rFonts w:ascii="宋体" w:hAnsi="宋体" w:eastAsia="宋体" w:cs="宋体"/>
                <w:spacing w:val="-1"/>
                <w:sz w:val="21"/>
                <w:szCs w:val="21"/>
              </w:rPr>
              <w:t>保健院（除省属医疗</w:t>
            </w:r>
          </w:p>
          <w:p>
            <w:pPr>
              <w:spacing w:before="51" w:line="184" w:lineRule="auto"/>
              <w:ind w:firstLine="69"/>
              <w:rPr>
                <w:rFonts w:ascii="Times New Roman" w:hAnsi="Times New Roman" w:eastAsia="Times New Roman" w:cs="Times New Roman"/>
                <w:sz w:val="21"/>
                <w:szCs w:val="21"/>
              </w:rPr>
            </w:pPr>
            <w:r>
              <w:rPr>
                <w:rFonts w:ascii="宋体" w:hAnsi="宋体" w:eastAsia="宋体" w:cs="宋体"/>
                <w:spacing w:val="-4"/>
                <w:sz w:val="21"/>
                <w:szCs w:val="21"/>
              </w:rPr>
              <w:t>机构外）床位在</w:t>
            </w:r>
            <w:r>
              <w:rPr>
                <w:rFonts w:ascii="宋体" w:hAnsi="宋体" w:eastAsia="宋体" w:cs="宋体"/>
                <w:spacing w:val="-19"/>
                <w:sz w:val="21"/>
                <w:szCs w:val="21"/>
              </w:rPr>
              <w:t xml:space="preserve"> </w:t>
            </w:r>
            <w:r>
              <w:rPr>
                <w:rFonts w:ascii="Times New Roman" w:hAnsi="Times New Roman" w:eastAsia="Times New Roman" w:cs="Times New Roman"/>
                <w:spacing w:val="-4"/>
                <w:sz w:val="21"/>
                <w:szCs w:val="21"/>
              </w:rPr>
              <w:t>100</w:t>
            </w:r>
          </w:p>
          <w:p>
            <w:pPr>
              <w:spacing w:before="49" w:line="184" w:lineRule="auto"/>
              <w:ind w:firstLine="47"/>
              <w:rPr>
                <w:rFonts w:ascii="宋体" w:hAnsi="宋体" w:eastAsia="宋体" w:cs="宋体"/>
                <w:sz w:val="21"/>
                <w:szCs w:val="21"/>
              </w:rPr>
            </w:pPr>
            <w:r>
              <w:rPr>
                <w:rFonts w:ascii="宋体" w:hAnsi="宋体" w:eastAsia="宋体" w:cs="宋体"/>
                <w:spacing w:val="-2"/>
                <w:sz w:val="21"/>
                <w:szCs w:val="21"/>
              </w:rPr>
              <w:t>张（含）以上的医疗</w:t>
            </w:r>
          </w:p>
          <w:p>
            <w:pPr>
              <w:spacing w:before="51" w:line="184" w:lineRule="auto"/>
              <w:ind w:firstLine="42"/>
              <w:rPr>
                <w:rFonts w:ascii="宋体" w:hAnsi="宋体" w:eastAsia="宋体" w:cs="宋体"/>
                <w:sz w:val="21"/>
                <w:szCs w:val="21"/>
              </w:rPr>
            </w:pPr>
            <w:r>
              <w:rPr>
                <w:rFonts w:ascii="宋体" w:hAnsi="宋体" w:eastAsia="宋体" w:cs="宋体"/>
                <w:spacing w:val="-1"/>
                <w:sz w:val="21"/>
                <w:szCs w:val="21"/>
              </w:rPr>
              <w:t>机构和专科医院及国</w:t>
            </w:r>
          </w:p>
          <w:p>
            <w:pPr>
              <w:spacing w:before="51" w:line="184" w:lineRule="auto"/>
              <w:ind w:firstLine="45"/>
              <w:rPr>
                <w:rFonts w:ascii="宋体" w:hAnsi="宋体" w:eastAsia="宋体" w:cs="宋体"/>
                <w:sz w:val="21"/>
                <w:szCs w:val="21"/>
              </w:rPr>
            </w:pPr>
            <w:r>
              <w:rPr>
                <w:rFonts w:ascii="宋体" w:hAnsi="宋体" w:eastAsia="宋体" w:cs="宋体"/>
                <w:spacing w:val="-1"/>
                <w:sz w:val="21"/>
                <w:szCs w:val="21"/>
              </w:rPr>
              <w:t>家明确由设区的市承</w:t>
            </w:r>
          </w:p>
          <w:p>
            <w:pPr>
              <w:spacing w:before="49" w:line="184" w:lineRule="auto"/>
              <w:ind w:firstLine="44"/>
              <w:rPr>
                <w:rFonts w:ascii="宋体" w:hAnsi="宋体" w:eastAsia="宋体" w:cs="宋体"/>
                <w:sz w:val="21"/>
                <w:szCs w:val="21"/>
              </w:rPr>
            </w:pPr>
            <w:r>
              <w:rPr>
                <w:rFonts w:ascii="宋体" w:hAnsi="宋体" w:eastAsia="宋体" w:cs="宋体"/>
                <w:spacing w:val="-1"/>
                <w:sz w:val="21"/>
                <w:szCs w:val="21"/>
              </w:rPr>
              <w:t>担的医疗机构等执业</w:t>
            </w:r>
          </w:p>
          <w:p>
            <w:pPr>
              <w:spacing w:before="51" w:line="184" w:lineRule="auto"/>
              <w:ind w:firstLine="783"/>
              <w:rPr>
                <w:rFonts w:ascii="宋体" w:hAnsi="宋体" w:eastAsia="宋体" w:cs="宋体"/>
                <w:sz w:val="21"/>
                <w:szCs w:val="21"/>
              </w:rPr>
            </w:pPr>
            <w:r>
              <w:rPr>
                <w:rFonts w:ascii="宋体" w:hAnsi="宋体" w:eastAsia="宋体" w:cs="宋体"/>
                <w:spacing w:val="-4"/>
                <w:sz w:val="21"/>
                <w:szCs w:val="21"/>
              </w:rPr>
              <w:t>登记</w:t>
            </w:r>
          </w:p>
        </w:tc>
        <w:tc>
          <w:tcPr>
            <w:tcW w:w="1364" w:type="dxa"/>
            <w:tcBorders>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9" w:line="229" w:lineRule="auto"/>
              <w:ind w:left="19" w:right="2"/>
              <w:rPr>
                <w:rFonts w:ascii="宋体" w:hAnsi="宋体" w:eastAsia="宋体" w:cs="宋体"/>
                <w:sz w:val="21"/>
                <w:szCs w:val="21"/>
              </w:rPr>
            </w:pPr>
            <w:r>
              <w:rPr>
                <w:rFonts w:ascii="宋体" w:hAnsi="宋体" w:eastAsia="宋体" w:cs="宋体"/>
                <w:spacing w:val="-9"/>
                <w:sz w:val="21"/>
                <w:szCs w:val="21"/>
              </w:rPr>
              <w:t>《医疗机构管理条例实施细则》第二十五条：申请医疗机构执业登</w:t>
            </w:r>
            <w:r>
              <w:rPr>
                <w:rFonts w:ascii="宋体" w:hAnsi="宋体" w:eastAsia="宋体" w:cs="宋体"/>
                <w:sz w:val="21"/>
                <w:szCs w:val="21"/>
              </w:rPr>
              <w:t xml:space="preserve"> </w:t>
            </w:r>
            <w:r>
              <w:rPr>
                <w:rFonts w:ascii="宋体" w:hAnsi="宋体" w:eastAsia="宋体" w:cs="宋体"/>
                <w:spacing w:val="-8"/>
                <w:sz w:val="21"/>
                <w:szCs w:val="21"/>
              </w:rPr>
              <w:t>记必须填写《医疗机构申请执业登记注册书》，并向登记机关提交</w:t>
            </w:r>
            <w:r>
              <w:rPr>
                <w:rFonts w:ascii="宋体" w:hAnsi="宋体" w:eastAsia="宋体" w:cs="宋体"/>
                <w:sz w:val="21"/>
                <w:szCs w:val="21"/>
              </w:rPr>
              <w:t xml:space="preserve"> </w:t>
            </w:r>
            <w:r>
              <w:rPr>
                <w:rFonts w:ascii="宋体" w:hAnsi="宋体" w:eastAsia="宋体" w:cs="宋体"/>
                <w:spacing w:val="-2"/>
                <w:sz w:val="21"/>
                <w:szCs w:val="21"/>
              </w:rPr>
              <w:t>下列材料</w:t>
            </w:r>
            <w:r>
              <w:rPr>
                <w:rFonts w:ascii="宋体" w:hAnsi="宋体" w:eastAsia="宋体" w:cs="宋体"/>
                <w:sz w:val="21"/>
                <w:szCs w:val="21"/>
              </w:rPr>
              <w:t>：（</w:t>
            </w:r>
            <w:r>
              <w:rPr>
                <w:rFonts w:ascii="宋体" w:hAnsi="宋体" w:eastAsia="宋体" w:cs="宋体"/>
                <w:spacing w:val="-2"/>
                <w:sz w:val="21"/>
                <w:szCs w:val="21"/>
              </w:rPr>
              <w:t>四）验资证明、资产评估报告。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6"/>
        <w:gridCol w:w="1365"/>
        <w:gridCol w:w="6044"/>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7"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4"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7"/>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6"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5"/>
              <w:rPr>
                <w:rFonts w:ascii="黑体" w:hAnsi="黑体" w:eastAsia="黑体" w:cs="黑体"/>
                <w:sz w:val="21"/>
                <w:szCs w:val="21"/>
              </w:rPr>
            </w:pPr>
            <w:r>
              <w:rPr>
                <w:rFonts w:ascii="黑体" w:hAnsi="黑体" w:eastAsia="黑体" w:cs="黑体"/>
                <w:spacing w:val="-3"/>
                <w:sz w:val="21"/>
                <w:szCs w:val="21"/>
              </w:rPr>
              <w:t>事项类型</w:t>
            </w:r>
          </w:p>
        </w:tc>
        <w:tc>
          <w:tcPr>
            <w:tcW w:w="6044"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445" w:type="dxa"/>
            <w:vMerge w:val="restart"/>
            <w:tcBorders>
              <w:left w:val="single" w:color="000000" w:sz="12" w:space="0"/>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4</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66" w:type="dxa"/>
            <w:vMerge w:val="restart"/>
            <w:tcBorders>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68" w:line="239" w:lineRule="auto"/>
              <w:ind w:left="200" w:right="113" w:hanging="104"/>
              <w:rPr>
                <w:rFonts w:ascii="宋体" w:hAnsi="宋体" w:eastAsia="宋体" w:cs="宋体"/>
                <w:sz w:val="21"/>
                <w:szCs w:val="21"/>
              </w:rPr>
            </w:pPr>
            <w:r>
              <w:rPr>
                <w:rFonts w:ascii="宋体" w:hAnsi="宋体" w:eastAsia="宋体" w:cs="宋体"/>
                <w:spacing w:val="-2"/>
                <w:sz w:val="21"/>
                <w:szCs w:val="21"/>
              </w:rPr>
              <w:t>危险化学品安</w:t>
            </w:r>
            <w:r>
              <w:rPr>
                <w:rFonts w:ascii="宋体" w:hAnsi="宋体" w:eastAsia="宋体" w:cs="宋体"/>
                <w:spacing w:val="2"/>
                <w:sz w:val="21"/>
                <w:szCs w:val="21"/>
              </w:rPr>
              <w:t xml:space="preserve"> </w:t>
            </w:r>
            <w:r>
              <w:rPr>
                <w:rFonts w:ascii="宋体" w:hAnsi="宋体" w:eastAsia="宋体" w:cs="宋体"/>
                <w:spacing w:val="-2"/>
                <w:sz w:val="21"/>
                <w:szCs w:val="21"/>
              </w:rPr>
              <w:t>全使用许可</w:t>
            </w:r>
          </w:p>
        </w:tc>
        <w:tc>
          <w:tcPr>
            <w:tcW w:w="1976"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9" w:line="184" w:lineRule="auto"/>
              <w:ind w:firstLine="269"/>
              <w:rPr>
                <w:rFonts w:ascii="宋体" w:hAnsi="宋体" w:eastAsia="宋体" w:cs="宋体"/>
                <w:sz w:val="21"/>
                <w:szCs w:val="21"/>
              </w:rPr>
            </w:pPr>
            <w:r>
              <w:rPr>
                <w:rFonts w:ascii="宋体" w:hAnsi="宋体" w:eastAsia="宋体" w:cs="宋体"/>
                <w:spacing w:val="-2"/>
                <w:sz w:val="21"/>
                <w:szCs w:val="21"/>
              </w:rPr>
              <w:t>行政许可</w:t>
            </w:r>
          </w:p>
        </w:tc>
        <w:tc>
          <w:tcPr>
            <w:tcW w:w="6044" w:type="dxa"/>
            <w:vMerge w:val="restart"/>
            <w:tcBorders>
              <w:bottom w:val="nil"/>
            </w:tcBorders>
            <w:vAlign w:val="top"/>
          </w:tcPr>
          <w:p>
            <w:pPr>
              <w:spacing w:line="252" w:lineRule="auto"/>
              <w:rPr>
                <w:rFonts w:ascii="宋体"/>
                <w:sz w:val="21"/>
              </w:rPr>
            </w:pP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280" w:lineRule="exact"/>
              <w:ind w:left="17" w:firstLine="23"/>
              <w:jc w:val="both"/>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三十条：申请危险化学品安全使用许可证的化工企业，除应当符合本条例第二十八条的规定外，还应当具备下列条件：……（四）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40" w:leftChars="0"/>
              <w:jc w:val="both"/>
              <w:textAlignment w:val="baseline"/>
              <w:rPr>
                <w:rFonts w:ascii="宋体" w:hAnsi="宋体" w:eastAsia="宋体" w:cs="宋体"/>
                <w:sz w:val="21"/>
                <w:szCs w:val="21"/>
              </w:rPr>
            </w:pPr>
            <w:r>
              <w:rPr>
                <w:rFonts w:ascii="宋体" w:hAnsi="宋体" w:eastAsia="宋体" w:cs="宋体"/>
                <w:spacing w:val="-8"/>
                <w:sz w:val="21"/>
                <w:szCs w:val="21"/>
              </w:rPr>
              <w:t>2.《危险化学品安全使用许可证实施办法》（2012年11月国家安全监管总局令第57号，2015年5月修正）第十三条：企业应当依法委托具备国家规定资质条件的安全评价机构进行安全评价，并按照安全评价报告的意见对存在的安全生产问题进行整改。第十八条：企业向发证机关申请安全使用许可证时，应当提交下列文件、资料，并对其内容的真实性负责：（九）安全评价报告及其整改结果的报告；（十）新建企业的建设项目安全设施竣工验收报告。第二十五条：企业在安全使用许可证有效期内，有下列情形之一的，发证机关按照本办法第二十条、第二十一条、第二十二条、第二十三条的规定办理变更手续：（一）增加使用的危险化学品品种，且达到危险化学品使用量的数量标准规定的；（二）涉及危险化学品安全使用许可范围的新建、改建、扩建建设项目的；（三）改变工艺技术对企业的安全生产条件产生重大影响的。有本条第一款第二项规定情形的企业，应当在建设项目安全设施竣工验收合格之日起10个工作日内向原发证机关提出变更申请，并提交建设项目安全设施竣工验收报告等相关文件、资料。有本条第一款第一项、第三项规定情形的企业，应当进行专项安全验收评价，并对安全评价报告中提出的问题进行整改；在整改完成后，向原发证机关提出变更申请并提交安全验收评价报告。</w:t>
            </w:r>
          </w:p>
        </w:tc>
        <w:tc>
          <w:tcPr>
            <w:tcW w:w="1390"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1"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vMerge w:val="continue"/>
            <w:tcBorders>
              <w:top w:val="nil"/>
              <w:bottom w:val="single" w:color="000000" w:sz="12" w:space="0"/>
            </w:tcBorders>
            <w:vAlign w:val="top"/>
          </w:tcPr>
          <w:p>
            <w:pPr>
              <w:rPr>
                <w:rFonts w:ascii="宋体"/>
                <w:sz w:val="21"/>
              </w:rPr>
            </w:pPr>
          </w:p>
        </w:tc>
        <w:tc>
          <w:tcPr>
            <w:tcW w:w="1976" w:type="dxa"/>
            <w:vMerge w:val="continue"/>
            <w:tcBorders>
              <w:top w:val="nil"/>
              <w:bottom w:val="single" w:color="000000" w:sz="12" w:space="0"/>
            </w:tcBorders>
            <w:vAlign w:val="top"/>
          </w:tcPr>
          <w:p>
            <w:pPr>
              <w:rPr>
                <w:rFonts w:ascii="宋体"/>
                <w:sz w:val="21"/>
              </w:rPr>
            </w:pPr>
          </w:p>
        </w:tc>
        <w:tc>
          <w:tcPr>
            <w:tcW w:w="1365" w:type="dxa"/>
            <w:vMerge w:val="continue"/>
            <w:tcBorders>
              <w:top w:val="nil"/>
              <w:bottom w:val="single" w:color="000000" w:sz="12" w:space="0"/>
            </w:tcBorders>
            <w:vAlign w:val="top"/>
          </w:tcPr>
          <w:p>
            <w:pPr>
              <w:rPr>
                <w:rFonts w:ascii="宋体"/>
                <w:sz w:val="21"/>
              </w:rPr>
            </w:pPr>
          </w:p>
        </w:tc>
        <w:tc>
          <w:tcPr>
            <w:tcW w:w="6044" w:type="dxa"/>
            <w:vMerge w:val="continue"/>
            <w:tcBorders>
              <w:top w:val="nil"/>
              <w:bottom w:val="single" w:color="000000" w:sz="12" w:space="0"/>
            </w:tcBorders>
            <w:vAlign w:val="top"/>
          </w:tcPr>
          <w:p>
            <w:pPr>
              <w:rPr>
                <w:rFonts w:ascii="宋体"/>
                <w:sz w:val="21"/>
              </w:rPr>
            </w:pP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footerReference r:id="rId14"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4" w:hRule="atLeast"/>
        </w:trPr>
        <w:tc>
          <w:tcPr>
            <w:tcW w:w="1445" w:type="dxa"/>
            <w:tcBorders>
              <w:left w:val="single" w:color="000000" w:sz="12" w:space="0"/>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152"/>
              <w:rPr>
                <w:rFonts w:ascii="宋体" w:hAnsi="宋体" w:eastAsia="宋体" w:cs="宋体"/>
                <w:sz w:val="21"/>
                <w:szCs w:val="21"/>
              </w:rPr>
            </w:pPr>
            <w:r>
              <w:rPr>
                <w:rFonts w:ascii="Times New Roman" w:hAnsi="Times New Roman" w:eastAsia="Times New Roman" w:cs="Times New Roman"/>
                <w:spacing w:val="-1"/>
                <w:sz w:val="21"/>
                <w:szCs w:val="21"/>
              </w:rPr>
              <w:t>4</w:t>
            </w: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w:t>
            </w:r>
            <w:r>
              <w:rPr>
                <w:rFonts w:ascii="宋体" w:hAnsi="宋体" w:eastAsia="宋体" w:cs="宋体"/>
                <w:spacing w:val="-1"/>
                <w:sz w:val="21"/>
                <w:szCs w:val="21"/>
              </w:rPr>
              <w:t>安全评价</w:t>
            </w:r>
          </w:p>
        </w:tc>
        <w:tc>
          <w:tcPr>
            <w:tcW w:w="1466" w:type="dxa"/>
            <w:tcBorders>
              <w:bottom w:val="single" w:color="000000" w:sz="12" w:space="0"/>
            </w:tcBorders>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69" w:line="239" w:lineRule="auto"/>
              <w:ind w:left="411" w:right="113" w:hanging="315"/>
              <w:rPr>
                <w:rFonts w:ascii="宋体" w:hAnsi="宋体" w:eastAsia="宋体" w:cs="宋体"/>
                <w:sz w:val="21"/>
                <w:szCs w:val="21"/>
              </w:rPr>
            </w:pPr>
            <w:r>
              <w:rPr>
                <w:rFonts w:ascii="宋体" w:hAnsi="宋体" w:eastAsia="宋体" w:cs="宋体"/>
                <w:spacing w:val="-2"/>
                <w:sz w:val="21"/>
                <w:szCs w:val="21"/>
              </w:rPr>
              <w:t>危险化学品经</w:t>
            </w:r>
            <w:r>
              <w:rPr>
                <w:rFonts w:ascii="宋体" w:hAnsi="宋体" w:eastAsia="宋体" w:cs="宋体"/>
                <w:spacing w:val="2"/>
                <w:sz w:val="21"/>
                <w:szCs w:val="21"/>
              </w:rPr>
              <w:t xml:space="preserve"> </w:t>
            </w:r>
            <w:r>
              <w:rPr>
                <w:rFonts w:ascii="宋体" w:hAnsi="宋体" w:eastAsia="宋体" w:cs="宋体"/>
                <w:spacing w:val="-3"/>
                <w:sz w:val="21"/>
                <w:szCs w:val="21"/>
              </w:rPr>
              <w:t>营许可</w:t>
            </w:r>
          </w:p>
        </w:tc>
        <w:tc>
          <w:tcPr>
            <w:tcW w:w="1977" w:type="dxa"/>
            <w:tcBorders>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439" w:lineRule="auto"/>
              <w:rPr>
                <w:rFonts w:ascii="宋体"/>
                <w:sz w:val="21"/>
              </w:rPr>
            </w:pP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280" w:lineRule="exact"/>
              <w:ind w:left="17" w:firstLine="17"/>
              <w:jc w:val="left"/>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4" w:leftChars="0"/>
              <w:jc w:val="left"/>
              <w:textAlignment w:val="baseline"/>
              <w:rPr>
                <w:rFonts w:ascii="宋体" w:hAnsi="宋体" w:eastAsia="宋体" w:cs="宋体"/>
                <w:sz w:val="21"/>
                <w:szCs w:val="21"/>
              </w:rPr>
            </w:pPr>
            <w:r>
              <w:rPr>
                <w:rFonts w:ascii="宋体" w:hAnsi="宋体" w:eastAsia="宋体" w:cs="宋体"/>
                <w:spacing w:val="-8"/>
                <w:sz w:val="21"/>
                <w:szCs w:val="21"/>
              </w:rPr>
              <w:t>2.《危险化学品经营许可证管理办法》（2012年7月国家安全监管总局令第55号，2015年5月修正）第九条：带有储存设施经营危险化学品的，申请人还应当提交下列文件、资料：（一）储存设施新建、改建、扩建的，需要提交危险化学品建设项目安全设施竣工验收报告（复制件）（三）安全评价报告。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五）变更后的危险化学品储存设施及其监控措施的专项安全评价报告。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3.《山东省〈危险化学品经营许可证管理办法〉实施细则》（鲁安监发〔2013〕94号，2015年修改）第三十八条：安全评价报告纳入经营许可证现场核查的内容。</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84" w:lineRule="auto"/>
        <w:rPr>
          <w:rFonts w:ascii="宋体"/>
          <w:sz w:val="21"/>
        </w:r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4"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1445" w:type="dxa"/>
            <w:vMerge w:val="restart"/>
            <w:tcBorders>
              <w:left w:val="single" w:color="000000" w:sz="12" w:space="0"/>
              <w:bottom w:val="nil"/>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9" w:line="239" w:lineRule="auto"/>
              <w:ind w:left="7" w:firstLine="40"/>
              <w:rPr>
                <w:rFonts w:ascii="宋体" w:hAnsi="宋体" w:eastAsia="宋体" w:cs="宋体"/>
                <w:sz w:val="21"/>
                <w:szCs w:val="21"/>
              </w:rPr>
            </w:pPr>
            <w:r>
              <w:rPr>
                <w:rFonts w:ascii="Times New Roman" w:hAnsi="Times New Roman" w:eastAsia="Times New Roman" w:cs="Times New Roman"/>
                <w:spacing w:val="-2"/>
                <w:sz w:val="21"/>
                <w:szCs w:val="21"/>
              </w:rPr>
              <w:t>4</w:t>
            </w:r>
            <w:r>
              <w:rPr>
                <w:rFonts w:hint="eastAsia" w:ascii="Times New Roman" w:hAnsi="Times New Roman" w:eastAsia="宋体" w:cs="Times New Roman"/>
                <w:spacing w:val="-2"/>
                <w:sz w:val="21"/>
                <w:szCs w:val="21"/>
                <w:lang w:val="en-US" w:eastAsia="zh-CN"/>
              </w:rPr>
              <w:t>6</w:t>
            </w:r>
            <w:r>
              <w:rPr>
                <w:rFonts w:ascii="Times New Roman" w:hAnsi="Times New Roman" w:eastAsia="Times New Roman" w:cs="Times New Roman"/>
                <w:spacing w:val="-2"/>
                <w:sz w:val="21"/>
                <w:szCs w:val="21"/>
              </w:rPr>
              <w:t>.</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6"/>
                <w:sz w:val="21"/>
                <w:szCs w:val="21"/>
              </w:rPr>
              <w:t xml:space="preserve"> </w:t>
            </w:r>
            <w:r>
              <w:rPr>
                <w:rFonts w:ascii="宋体" w:hAnsi="宋体" w:eastAsia="宋体" w:cs="宋体"/>
                <w:spacing w:val="-13"/>
                <w:sz w:val="21"/>
                <w:szCs w:val="21"/>
              </w:rPr>
              <w:t>专项评价、竣工</w:t>
            </w:r>
            <w:r>
              <w:rPr>
                <w:rFonts w:ascii="宋体" w:hAnsi="宋体" w:eastAsia="宋体" w:cs="宋体"/>
                <w:spacing w:val="2"/>
                <w:sz w:val="21"/>
                <w:szCs w:val="21"/>
              </w:rPr>
              <w:t xml:space="preserve"> </w:t>
            </w:r>
            <w:r>
              <w:rPr>
                <w:rFonts w:ascii="宋体" w:hAnsi="宋体" w:eastAsia="宋体" w:cs="宋体"/>
                <w:spacing w:val="-13"/>
                <w:sz w:val="21"/>
                <w:szCs w:val="21"/>
              </w:rPr>
              <w:t>验收评价、专项</w:t>
            </w:r>
          </w:p>
          <w:p>
            <w:pPr>
              <w:spacing w:line="202" w:lineRule="auto"/>
              <w:ind w:firstLine="182"/>
              <w:rPr>
                <w:rFonts w:ascii="宋体" w:hAnsi="宋体" w:eastAsia="宋体" w:cs="宋体"/>
                <w:sz w:val="21"/>
                <w:szCs w:val="21"/>
              </w:rPr>
            </w:pPr>
            <w:r>
              <w:rPr>
                <w:rFonts w:ascii="宋体" w:hAnsi="宋体" w:eastAsia="宋体" w:cs="宋体"/>
                <w:spacing w:val="-4"/>
                <w:sz w:val="21"/>
                <w:szCs w:val="21"/>
              </w:rPr>
              <w:t>验收评价）</w:t>
            </w:r>
          </w:p>
        </w:tc>
        <w:tc>
          <w:tcPr>
            <w:tcW w:w="1466"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9" w:line="239" w:lineRule="auto"/>
              <w:ind w:left="101" w:right="113" w:hanging="7"/>
              <w:rPr>
                <w:rFonts w:ascii="宋体" w:hAnsi="宋体" w:eastAsia="宋体" w:cs="宋体"/>
                <w:sz w:val="21"/>
                <w:szCs w:val="21"/>
              </w:rPr>
            </w:pPr>
            <w:r>
              <w:rPr>
                <w:rFonts w:ascii="宋体" w:hAnsi="宋体" w:eastAsia="宋体" w:cs="宋体"/>
                <w:spacing w:val="-2"/>
                <w:sz w:val="21"/>
                <w:szCs w:val="21"/>
              </w:rPr>
              <w:t>烟花爆竹经营</w:t>
            </w:r>
            <w:r>
              <w:rPr>
                <w:rFonts w:ascii="宋体" w:hAnsi="宋体" w:eastAsia="宋体" w:cs="宋体"/>
                <w:spacing w:val="5"/>
                <w:sz w:val="21"/>
                <w:szCs w:val="21"/>
              </w:rPr>
              <w:t xml:space="preserve"> </w:t>
            </w:r>
            <w:r>
              <w:rPr>
                <w:rFonts w:ascii="宋体" w:hAnsi="宋体" w:eastAsia="宋体" w:cs="宋体"/>
                <w:spacing w:val="-4"/>
                <w:sz w:val="21"/>
                <w:szCs w:val="21"/>
              </w:rPr>
              <w:t>（批发）许可</w:t>
            </w:r>
          </w:p>
        </w:tc>
        <w:tc>
          <w:tcPr>
            <w:tcW w:w="1979" w:type="dxa"/>
            <w:vAlign w:val="top"/>
          </w:tcPr>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280" w:lineRule="exact"/>
              <w:ind w:left="16" w:right="2" w:firstLine="20"/>
              <w:jc w:val="both"/>
              <w:textAlignment w:val="baseline"/>
              <w:rPr>
                <w:rFonts w:ascii="宋体" w:hAnsi="宋体" w:eastAsia="宋体" w:cs="宋体"/>
                <w:spacing w:val="-8"/>
                <w:sz w:val="21"/>
                <w:szCs w:val="21"/>
              </w:rPr>
            </w:pPr>
            <w:r>
              <w:rPr>
                <w:rFonts w:ascii="宋体" w:hAnsi="宋体" w:eastAsia="宋体" w:cs="宋体"/>
                <w:spacing w:val="-8"/>
                <w:sz w:val="21"/>
                <w:szCs w:val="21"/>
              </w:rPr>
              <w:t>《爆竹安全管理条例》（2006年1月国务院令第455号，2016年2月修订）第十七条：从事烟花爆竹批发的企业，应当具备下列条件：……（五）依法进行了安全评价……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right="2" w:rightChars="0"/>
              <w:jc w:val="both"/>
              <w:textAlignment w:val="baseline"/>
              <w:rPr>
                <w:rFonts w:ascii="宋体" w:hAnsi="宋体" w:eastAsia="宋体" w:cs="宋体"/>
                <w:sz w:val="21"/>
                <w:szCs w:val="21"/>
              </w:rPr>
            </w:pPr>
            <w:r>
              <w:rPr>
                <w:rFonts w:ascii="宋体" w:hAnsi="宋体" w:eastAsia="宋体" w:cs="宋体"/>
                <w:spacing w:val="-8"/>
                <w:sz w:val="21"/>
                <w:szCs w:val="21"/>
              </w:rPr>
              <w:t>2.《烟花爆竹经营许可实施办法》（2013年10月国家安全监管总局令第65号）第六条：批发企业应当符合下列条件：（十）依法进行安全评价。第八条：批发企业申请领取批发许可证时，应当向发证机关提交下列申请文件、资料，并对其真实性负责；（六）具备相应资质的安全评价机构出具的安全评价报告，安全评价报告至少包括本办法第六条第三项、第四项、第八项、第九项和第七条规定条件的符合性评价内容。（七）建设项目安全设施设计审查和竣工验收的证明材料。</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1445" w:type="dxa"/>
            <w:vMerge w:val="continue"/>
            <w:tcBorders>
              <w:top w:val="nil"/>
              <w:left w:val="single" w:color="000000" w:sz="12" w:space="0"/>
              <w:bottom w:val="single" w:color="000000" w:sz="12" w:space="0"/>
            </w:tcBorders>
            <w:vAlign w:val="top"/>
          </w:tcPr>
          <w:p>
            <w:pPr>
              <w:rPr>
                <w:rFonts w:ascii="宋体"/>
                <w:sz w:val="21"/>
              </w:rPr>
            </w:pPr>
          </w:p>
        </w:tc>
        <w:tc>
          <w:tcPr>
            <w:tcW w:w="1466" w:type="dxa"/>
            <w:tcBorders>
              <w:bottom w:val="single" w:color="000000" w:sz="12" w:space="0"/>
            </w:tcBorders>
            <w:vAlign w:val="center"/>
          </w:tcPr>
          <w:p>
            <w:pPr>
              <w:spacing w:before="69" w:line="184" w:lineRule="auto"/>
              <w:ind w:firstLine="99"/>
              <w:jc w:val="both"/>
              <w:rPr>
                <w:rFonts w:ascii="宋体" w:hAnsi="宋体" w:eastAsia="宋体" w:cs="宋体"/>
                <w:sz w:val="21"/>
                <w:szCs w:val="21"/>
              </w:rPr>
            </w:pPr>
            <w:r>
              <w:rPr>
                <w:rFonts w:ascii="宋体" w:hAnsi="宋体" w:eastAsia="宋体" w:cs="宋体"/>
                <w:spacing w:val="-2"/>
                <w:sz w:val="21"/>
                <w:szCs w:val="21"/>
              </w:rPr>
              <w:t>非煤矿矿山企</w:t>
            </w:r>
          </w:p>
          <w:p>
            <w:pPr>
              <w:spacing w:before="63" w:line="184" w:lineRule="auto"/>
              <w:ind w:firstLine="95"/>
              <w:jc w:val="both"/>
              <w:rPr>
                <w:rFonts w:ascii="宋体" w:hAnsi="宋体" w:eastAsia="宋体" w:cs="宋体"/>
                <w:sz w:val="21"/>
                <w:szCs w:val="21"/>
              </w:rPr>
            </w:pPr>
            <w:r>
              <w:rPr>
                <w:rFonts w:ascii="宋体" w:hAnsi="宋体" w:eastAsia="宋体" w:cs="宋体"/>
                <w:spacing w:val="-2"/>
                <w:sz w:val="21"/>
                <w:szCs w:val="21"/>
              </w:rPr>
              <w:t>业安全生产许</w:t>
            </w:r>
          </w:p>
          <w:p>
            <w:pPr>
              <w:spacing w:before="63" w:line="184" w:lineRule="auto"/>
              <w:ind w:firstLine="623"/>
              <w:jc w:val="both"/>
              <w:rPr>
                <w:rFonts w:ascii="宋体" w:hAnsi="宋体" w:eastAsia="宋体" w:cs="宋体"/>
                <w:sz w:val="21"/>
                <w:szCs w:val="21"/>
              </w:rPr>
            </w:pPr>
            <w:r>
              <w:rPr>
                <w:rFonts w:ascii="宋体" w:hAnsi="宋体" w:eastAsia="宋体" w:cs="宋体"/>
                <w:sz w:val="21"/>
                <w:szCs w:val="21"/>
              </w:rPr>
              <w:t>可</w:t>
            </w:r>
          </w:p>
        </w:tc>
        <w:tc>
          <w:tcPr>
            <w:tcW w:w="1979" w:type="dxa"/>
            <w:tcBorders>
              <w:bottom w:val="single" w:color="000000" w:sz="12" w:space="0"/>
            </w:tcBorders>
            <w:vAlign w:val="center"/>
          </w:tcPr>
          <w:p>
            <w:pPr>
              <w:spacing w:before="68"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280" w:lineRule="exact"/>
              <w:ind w:left="16"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非煤矿矿山企业安全生产许可证实施办法》（2009年6月国家安全监管总局令第20号，2015年5月修正）第八条：非煤矿矿山企业申请领取安全生产许可证，应当提交下列文件、资料：（十三）矿山建设项目安全设施验收合格的书面报告。第十九条：金属非金属矿山独立生产系统和尾矿库，以及石油天然气独立生产系统和作业单位还应当提交由具备相应资质的中介服务机构出具的合格的安全现状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5" w:leftChars="0"/>
              <w:jc w:val="both"/>
              <w:textAlignment w:val="baseline"/>
              <w:rPr>
                <w:rFonts w:ascii="宋体" w:hAnsi="宋体" w:eastAsia="宋体" w:cs="宋体"/>
                <w:sz w:val="21"/>
                <w:szCs w:val="21"/>
              </w:rPr>
            </w:pPr>
            <w:r>
              <w:rPr>
                <w:rFonts w:ascii="宋体" w:hAnsi="宋体" w:eastAsia="宋体" w:cs="宋体"/>
                <w:spacing w:val="-8"/>
                <w:sz w:val="21"/>
                <w:szCs w:val="21"/>
              </w:rPr>
              <w:t>2.《建设项目安全设施“三同时”监督管理办法》（2010年12月国家安全监管总局令第36号，2015年4月修正）第二十二条：本办法第七条规定的建设项目安全设施竣工或者试运行完成后，生产经营单位应当委托具有相应资质的安全评价机构对安全设施进行验收评价，并编制建设项目安全验收评价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tabs>
          <w:tab w:val="left" w:pos="2872"/>
        </w:tabs>
        <w:bidi w:val="0"/>
        <w:jc w:val="left"/>
        <w:rPr>
          <w:rFonts w:hint="eastAsia" w:eastAsia="宋体"/>
          <w:lang w:eastAsia="zh-CN"/>
        </w:rPr>
        <w:sectPr>
          <w:footerReference r:id="rId15" w:type="default"/>
          <w:pgSz w:w="16840" w:h="11905"/>
          <w:pgMar w:top="1011" w:right="1037" w:bottom="1823"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7"/>
        <w:gridCol w:w="1365"/>
        <w:gridCol w:w="6043"/>
        <w:gridCol w:w="13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8"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6"/>
              <w:rPr>
                <w:rFonts w:ascii="黑体" w:hAnsi="黑体" w:eastAsia="黑体" w:cs="黑体"/>
                <w:sz w:val="21"/>
                <w:szCs w:val="21"/>
              </w:rPr>
            </w:pPr>
            <w:r>
              <w:rPr>
                <w:rFonts w:ascii="黑体" w:hAnsi="黑体" w:eastAsia="黑体" w:cs="黑体"/>
                <w:spacing w:val="-3"/>
                <w:sz w:val="21"/>
                <w:szCs w:val="21"/>
              </w:rPr>
              <w:t>设定依据</w:t>
            </w:r>
          </w:p>
        </w:tc>
        <w:tc>
          <w:tcPr>
            <w:tcW w:w="1390" w:type="dxa"/>
            <w:vMerge w:val="restart"/>
            <w:tcBorders>
              <w:top w:val="single" w:color="000000" w:sz="12" w:space="0"/>
              <w:bottom w:val="nil"/>
            </w:tcBorders>
            <w:vAlign w:val="top"/>
          </w:tcPr>
          <w:p>
            <w:pPr>
              <w:spacing w:before="277" w:line="239" w:lineRule="auto"/>
              <w:ind w:left="499"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7"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5" w:type="dxa"/>
            <w:vAlign w:val="top"/>
          </w:tcPr>
          <w:p>
            <w:pPr>
              <w:spacing w:before="135" w:line="184" w:lineRule="auto"/>
              <w:ind w:firstLine="274"/>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90"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9" w:hRule="atLeast"/>
        </w:trPr>
        <w:tc>
          <w:tcPr>
            <w:tcW w:w="1445" w:type="dxa"/>
            <w:tcBorders>
              <w:left w:val="single" w:color="000000" w:sz="12" w:space="0"/>
              <w:bottom w:val="single" w:color="000000" w:sz="12" w:space="0"/>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8" w:line="239" w:lineRule="auto"/>
              <w:ind w:left="7" w:firstLine="40"/>
              <w:rPr>
                <w:rFonts w:ascii="宋体" w:hAnsi="宋体" w:eastAsia="宋体" w:cs="宋体"/>
                <w:sz w:val="21"/>
                <w:szCs w:val="21"/>
              </w:rPr>
            </w:pPr>
            <w:r>
              <w:rPr>
                <w:rFonts w:ascii="Times New Roman" w:hAnsi="Times New Roman" w:eastAsia="Times New Roman" w:cs="Times New Roman"/>
                <w:spacing w:val="-2"/>
                <w:sz w:val="21"/>
                <w:szCs w:val="21"/>
              </w:rPr>
              <w:t>4</w:t>
            </w:r>
            <w:r>
              <w:rPr>
                <w:rFonts w:hint="eastAsia" w:ascii="Times New Roman" w:hAnsi="Times New Roman" w:eastAsia="宋体" w:cs="Times New Roman"/>
                <w:spacing w:val="-2"/>
                <w:sz w:val="21"/>
                <w:szCs w:val="21"/>
                <w:lang w:val="en-US" w:eastAsia="zh-CN"/>
              </w:rPr>
              <w:t>7</w:t>
            </w:r>
            <w:r>
              <w:rPr>
                <w:rFonts w:ascii="Times New Roman" w:hAnsi="Times New Roman" w:eastAsia="Times New Roman" w:cs="Times New Roman"/>
                <w:spacing w:val="-2"/>
                <w:sz w:val="21"/>
                <w:szCs w:val="21"/>
              </w:rPr>
              <w:t>.</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6"/>
                <w:sz w:val="21"/>
                <w:szCs w:val="21"/>
              </w:rPr>
              <w:t xml:space="preserve"> </w:t>
            </w:r>
            <w:r>
              <w:rPr>
                <w:rFonts w:ascii="宋体" w:hAnsi="宋体" w:eastAsia="宋体" w:cs="宋体"/>
                <w:spacing w:val="-13"/>
                <w:sz w:val="21"/>
                <w:szCs w:val="21"/>
              </w:rPr>
              <w:t>专项评价、竣工</w:t>
            </w:r>
            <w:r>
              <w:rPr>
                <w:rFonts w:ascii="宋体" w:hAnsi="宋体" w:eastAsia="宋体" w:cs="宋体"/>
                <w:spacing w:val="2"/>
                <w:sz w:val="21"/>
                <w:szCs w:val="21"/>
              </w:rPr>
              <w:t xml:space="preserve"> </w:t>
            </w:r>
            <w:r>
              <w:rPr>
                <w:rFonts w:ascii="宋体" w:hAnsi="宋体" w:eastAsia="宋体" w:cs="宋体"/>
                <w:spacing w:val="-13"/>
                <w:sz w:val="21"/>
                <w:szCs w:val="21"/>
              </w:rPr>
              <w:t>验收评价、专项</w:t>
            </w:r>
          </w:p>
          <w:p>
            <w:pPr>
              <w:spacing w:line="202" w:lineRule="auto"/>
              <w:ind w:firstLine="182"/>
              <w:rPr>
                <w:rFonts w:ascii="宋体" w:hAnsi="宋体" w:eastAsia="宋体" w:cs="宋体"/>
                <w:sz w:val="21"/>
                <w:szCs w:val="21"/>
              </w:rPr>
            </w:pPr>
            <w:r>
              <w:rPr>
                <w:rFonts w:ascii="宋体" w:hAnsi="宋体" w:eastAsia="宋体" w:cs="宋体"/>
                <w:spacing w:val="-4"/>
                <w:sz w:val="21"/>
                <w:szCs w:val="21"/>
              </w:rPr>
              <w:t>验收评价）</w:t>
            </w:r>
          </w:p>
        </w:tc>
        <w:tc>
          <w:tcPr>
            <w:tcW w:w="1466"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9" w:line="184" w:lineRule="auto"/>
              <w:ind w:firstLine="96"/>
              <w:rPr>
                <w:rFonts w:ascii="宋体" w:hAnsi="宋体" w:eastAsia="宋体" w:cs="宋体"/>
                <w:sz w:val="21"/>
                <w:szCs w:val="21"/>
              </w:rPr>
            </w:pPr>
            <w:r>
              <w:rPr>
                <w:rFonts w:ascii="宋体" w:hAnsi="宋体" w:eastAsia="宋体" w:cs="宋体"/>
                <w:spacing w:val="-2"/>
                <w:sz w:val="21"/>
                <w:szCs w:val="21"/>
              </w:rPr>
              <w:t>危险化学品生</w:t>
            </w:r>
          </w:p>
          <w:p>
            <w:pPr>
              <w:spacing w:before="63" w:line="184" w:lineRule="auto"/>
              <w:ind w:firstLine="96"/>
              <w:rPr>
                <w:rFonts w:ascii="宋体" w:hAnsi="宋体" w:eastAsia="宋体" w:cs="宋体"/>
                <w:sz w:val="21"/>
                <w:szCs w:val="21"/>
              </w:rPr>
            </w:pPr>
            <w:r>
              <w:rPr>
                <w:rFonts w:ascii="宋体" w:hAnsi="宋体" w:eastAsia="宋体" w:cs="宋体"/>
                <w:spacing w:val="-2"/>
                <w:sz w:val="21"/>
                <w:szCs w:val="21"/>
              </w:rPr>
              <w:t>产企业安全生</w:t>
            </w:r>
          </w:p>
          <w:p>
            <w:pPr>
              <w:spacing w:before="63" w:line="184" w:lineRule="auto"/>
              <w:ind w:firstLine="411"/>
              <w:rPr>
                <w:rFonts w:ascii="宋体" w:hAnsi="宋体" w:eastAsia="宋体" w:cs="宋体"/>
                <w:sz w:val="21"/>
                <w:szCs w:val="21"/>
              </w:rPr>
            </w:pPr>
            <w:r>
              <w:rPr>
                <w:rFonts w:ascii="宋体" w:hAnsi="宋体" w:eastAsia="宋体" w:cs="宋体"/>
                <w:spacing w:val="-2"/>
                <w:sz w:val="21"/>
                <w:szCs w:val="21"/>
              </w:rPr>
              <w:t>产许可</w:t>
            </w:r>
          </w:p>
        </w:tc>
        <w:tc>
          <w:tcPr>
            <w:tcW w:w="1977"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5" w:type="dxa"/>
            <w:tcBorders>
              <w:bottom w:val="single" w:color="000000" w:sz="12" w:space="0"/>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8" w:line="184" w:lineRule="auto"/>
              <w:ind w:firstLine="268"/>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top"/>
          </w:tcPr>
          <w:p>
            <w:pPr>
              <w:spacing w:line="415" w:lineRule="auto"/>
              <w:rPr>
                <w:rFonts w:ascii="宋体"/>
                <w:sz w:val="21"/>
              </w:rPr>
            </w:pP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280" w:lineRule="exact"/>
              <w:ind w:left="17" w:firstLine="17"/>
              <w:textAlignment w:val="baseline"/>
              <w:rPr>
                <w:rFonts w:ascii="宋体" w:hAnsi="宋体" w:eastAsia="宋体" w:cs="宋体"/>
                <w:spacing w:val="-8"/>
                <w:sz w:val="21"/>
                <w:szCs w:val="21"/>
              </w:rPr>
            </w:pPr>
            <w:r>
              <w:rPr>
                <w:rFonts w:ascii="宋体" w:hAnsi="宋体" w:eastAsia="宋体" w:cs="宋体"/>
                <w:spacing w:val="-8"/>
                <w:sz w:val="21"/>
                <w:szCs w:val="21"/>
              </w:rPr>
              <w:t>《危险化学品安全管理条例》（2002年1月国务院令第344号，2013年12月第二次修订）第二十二条：生产、储存危险化学品的企业，应当委托具备国家规定的资质条件的机构，对本企业的安全生产条件每3年进行一次安全评价，提出安全评价报告。</w:t>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280" w:lineRule="exact"/>
              <w:ind w:left="17" w:leftChars="0" w:firstLine="17" w:firstLineChars="0"/>
              <w:textAlignment w:val="baseline"/>
              <w:rPr>
                <w:rFonts w:ascii="宋体" w:hAnsi="宋体" w:eastAsia="宋体" w:cs="宋体"/>
                <w:sz w:val="21"/>
                <w:szCs w:val="21"/>
              </w:rPr>
            </w:pPr>
            <w:r>
              <w:rPr>
                <w:rFonts w:ascii="宋体" w:hAnsi="宋体" w:eastAsia="宋体" w:cs="宋体"/>
                <w:spacing w:val="-8"/>
                <w:sz w:val="21"/>
                <w:szCs w:val="21"/>
              </w:rPr>
              <w:t>《危险化学品生产企业安全生产许可证实施办法》（2011年8月国家安全监管总局令第41号，2015年5月修正）第二十五条：企业申请安全生产许可证时，应当提交下列文件、资料，并对其内容的真实性负责：（十）具备资质的中介机构出具的安全评价报告。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4" w:leftChars="0"/>
              <w:textAlignment w:val="baseline"/>
              <w:rPr>
                <w:rFonts w:ascii="宋体" w:hAnsi="宋体" w:eastAsia="宋体" w:cs="宋体"/>
                <w:sz w:val="21"/>
                <w:szCs w:val="21"/>
              </w:rPr>
            </w:pPr>
            <w:r>
              <w:rPr>
                <w:rFonts w:ascii="宋体" w:hAnsi="宋体" w:eastAsia="宋体" w:cs="宋体"/>
                <w:spacing w:val="-8"/>
                <w:sz w:val="21"/>
                <w:szCs w:val="21"/>
              </w:rPr>
              <w:t>3.《山东省危险化学品生产企业安全生产许可证实施细则》（鲁安监发〔2012〕55号，2015年12月修改）4.4.5：企业在安全生产许可证有效期内发生兼并重组行为（一个企业兼并另一个或多个企业、或者拆分为两个及以上企业，两个及以上企业合并为一个企业、或者生产装置重组等），导致许可范围发生变化的，应当自工商营业执照变更之日起10个工作日内，向实施机关提出变更申请，提交4.2条中除4.2.6、4.2.10、4.2.11、4.2.12条规定以外的文件、资料，以及具备资质的中介机构出具的对相关企业的安全生产条件兼并重组前后变化情况的安全评价报告。</w:t>
            </w:r>
          </w:p>
        </w:tc>
        <w:tc>
          <w:tcPr>
            <w:tcW w:w="1390"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466"/>
        <w:gridCol w:w="1980"/>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44" w:type="dxa"/>
            <w:vMerge w:val="restart"/>
            <w:tcBorders>
              <w:top w:val="single" w:color="000000" w:sz="12" w:space="0"/>
              <w:left w:val="single" w:color="000000" w:sz="12" w:space="0"/>
              <w:bottom w:val="nil"/>
            </w:tcBorders>
            <w:vAlign w:val="top"/>
          </w:tcPr>
          <w:p>
            <w:pPr>
              <w:spacing w:before="277" w:line="239" w:lineRule="auto"/>
              <w:ind w:left="501" w:right="95"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10" w:type="dxa"/>
            <w:gridSpan w:val="3"/>
            <w:tcBorders>
              <w:top w:val="single" w:color="000000" w:sz="12" w:space="0"/>
            </w:tcBorders>
            <w:vAlign w:val="top"/>
          </w:tcPr>
          <w:p>
            <w:pPr>
              <w:spacing w:before="192" w:line="184" w:lineRule="auto"/>
              <w:ind w:firstLine="1464"/>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4" w:type="dxa"/>
            <w:vMerge w:val="continue"/>
            <w:tcBorders>
              <w:top w:val="nil"/>
              <w:left w:val="single" w:color="000000" w:sz="12" w:space="0"/>
            </w:tcBorders>
            <w:vAlign w:val="top"/>
          </w:tcPr>
          <w:p>
            <w:pPr>
              <w:rPr>
                <w:rFonts w:ascii="宋体"/>
                <w:sz w:val="21"/>
              </w:rPr>
            </w:pPr>
          </w:p>
        </w:tc>
        <w:tc>
          <w:tcPr>
            <w:tcW w:w="1466" w:type="dxa"/>
            <w:vAlign w:val="top"/>
          </w:tcPr>
          <w:p>
            <w:pPr>
              <w:spacing w:before="134" w:line="184" w:lineRule="auto"/>
              <w:ind w:firstLine="318"/>
              <w:rPr>
                <w:rFonts w:ascii="黑体" w:hAnsi="黑体" w:eastAsia="黑体" w:cs="黑体"/>
                <w:sz w:val="21"/>
                <w:szCs w:val="21"/>
              </w:rPr>
            </w:pPr>
            <w:r>
              <w:rPr>
                <w:rFonts w:ascii="黑体" w:hAnsi="黑体" w:eastAsia="黑体" w:cs="黑体"/>
                <w:spacing w:val="-4"/>
                <w:sz w:val="21"/>
                <w:szCs w:val="21"/>
              </w:rPr>
              <w:t>主项名称</w:t>
            </w:r>
          </w:p>
        </w:tc>
        <w:tc>
          <w:tcPr>
            <w:tcW w:w="1980" w:type="dxa"/>
            <w:vAlign w:val="top"/>
          </w:tcPr>
          <w:p>
            <w:pPr>
              <w:spacing w:before="134" w:line="184" w:lineRule="auto"/>
              <w:ind w:firstLine="574"/>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4"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444" w:type="dxa"/>
            <w:vMerge w:val="restart"/>
            <w:tcBorders>
              <w:left w:val="single" w:color="000000" w:sz="12" w:space="0"/>
              <w:bottom w:val="nil"/>
            </w:tcBorders>
            <w:vAlign w:val="center"/>
          </w:tcPr>
          <w:p>
            <w:pPr>
              <w:spacing w:before="69" w:line="226" w:lineRule="auto"/>
              <w:jc w:val="both"/>
              <w:rPr>
                <w:rFonts w:ascii="宋体" w:hAnsi="宋体" w:eastAsia="宋体" w:cs="宋体"/>
                <w:sz w:val="21"/>
                <w:szCs w:val="21"/>
              </w:rPr>
            </w:pPr>
            <w:r>
              <w:rPr>
                <w:rFonts w:ascii="Times New Roman" w:hAnsi="Times New Roman" w:eastAsia="Times New Roman" w:cs="Times New Roman"/>
                <w:spacing w:val="-2"/>
                <w:sz w:val="21"/>
                <w:szCs w:val="21"/>
              </w:rPr>
              <w:t>48.</w:t>
            </w:r>
            <w:r>
              <w:rPr>
                <w:rFonts w:ascii="宋体" w:hAnsi="宋体" w:eastAsia="宋体" w:cs="宋体"/>
                <w:spacing w:val="-2"/>
                <w:sz w:val="21"/>
                <w:szCs w:val="21"/>
              </w:rPr>
              <w:t>安全评价报</w:t>
            </w:r>
            <w:r>
              <w:rPr>
                <w:rFonts w:ascii="宋体" w:hAnsi="宋体" w:eastAsia="宋体" w:cs="宋体"/>
                <w:spacing w:val="1"/>
                <w:sz w:val="21"/>
                <w:szCs w:val="21"/>
              </w:rPr>
              <w:t xml:space="preserve"> </w:t>
            </w:r>
            <w:r>
              <w:rPr>
                <w:rFonts w:ascii="宋体" w:hAnsi="宋体" w:eastAsia="宋体" w:cs="宋体"/>
                <w:spacing w:val="-8"/>
                <w:sz w:val="21"/>
                <w:szCs w:val="21"/>
              </w:rPr>
              <w:t>告（现状评价、</w:t>
            </w:r>
            <w:r>
              <w:rPr>
                <w:rFonts w:ascii="宋体" w:hAnsi="宋体" w:eastAsia="宋体" w:cs="宋体"/>
                <w:spacing w:val="5"/>
                <w:sz w:val="21"/>
                <w:szCs w:val="21"/>
              </w:rPr>
              <w:t xml:space="preserve"> </w:t>
            </w:r>
            <w:r>
              <w:rPr>
                <w:rFonts w:ascii="宋体" w:hAnsi="宋体" w:eastAsia="宋体" w:cs="宋体"/>
                <w:spacing w:val="-13"/>
                <w:sz w:val="21"/>
                <w:szCs w:val="21"/>
              </w:rPr>
              <w:t>专项评价、竣工</w:t>
            </w:r>
            <w:r>
              <w:rPr>
                <w:rFonts w:ascii="宋体" w:hAnsi="宋体" w:eastAsia="宋体" w:cs="宋体"/>
                <w:spacing w:val="1"/>
                <w:sz w:val="21"/>
                <w:szCs w:val="21"/>
              </w:rPr>
              <w:t xml:space="preserve"> </w:t>
            </w:r>
            <w:r>
              <w:rPr>
                <w:rFonts w:ascii="宋体" w:hAnsi="宋体" w:eastAsia="宋体" w:cs="宋体"/>
                <w:spacing w:val="-13"/>
                <w:sz w:val="21"/>
                <w:szCs w:val="21"/>
              </w:rPr>
              <w:t>验收评价、专项</w:t>
            </w:r>
          </w:p>
          <w:p>
            <w:pPr>
              <w:spacing w:before="63" w:line="184" w:lineRule="auto"/>
              <w:ind w:firstLine="182"/>
              <w:jc w:val="both"/>
              <w:rPr>
                <w:rFonts w:ascii="宋体" w:hAnsi="宋体" w:eastAsia="宋体" w:cs="宋体"/>
                <w:sz w:val="21"/>
                <w:szCs w:val="21"/>
              </w:rPr>
            </w:pPr>
            <w:r>
              <w:rPr>
                <w:rFonts w:ascii="宋体" w:hAnsi="宋体" w:eastAsia="宋体" w:cs="宋体"/>
                <w:spacing w:val="-4"/>
                <w:sz w:val="21"/>
                <w:szCs w:val="21"/>
              </w:rPr>
              <w:t>验收评价）</w:t>
            </w:r>
          </w:p>
        </w:tc>
        <w:tc>
          <w:tcPr>
            <w:tcW w:w="1466" w:type="dxa"/>
            <w:vAlign w:val="center"/>
          </w:tcPr>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危险化学品</w:t>
            </w:r>
          </w:p>
          <w:p>
            <w:pPr>
              <w:spacing w:before="69" w:line="184" w:lineRule="auto"/>
              <w:jc w:val="center"/>
              <w:rPr>
                <w:rFonts w:ascii="宋体" w:hAnsi="宋体" w:eastAsia="宋体" w:cs="宋体"/>
                <w:spacing w:val="-2"/>
                <w:sz w:val="21"/>
                <w:szCs w:val="21"/>
              </w:rPr>
            </w:pPr>
            <w:r>
              <w:rPr>
                <w:rFonts w:ascii="宋体" w:hAnsi="宋体" w:eastAsia="宋体" w:cs="宋体"/>
                <w:spacing w:val="-2"/>
                <w:sz w:val="21"/>
                <w:szCs w:val="21"/>
              </w:rPr>
              <w:t>生产企业安全</w:t>
            </w:r>
          </w:p>
          <w:p>
            <w:pPr>
              <w:spacing w:before="69" w:line="184" w:lineRule="auto"/>
              <w:jc w:val="center"/>
              <w:rPr>
                <w:rFonts w:ascii="宋体" w:hAnsi="宋体" w:eastAsia="宋体" w:cs="宋体"/>
                <w:sz w:val="21"/>
                <w:szCs w:val="21"/>
              </w:rPr>
            </w:pPr>
            <w:r>
              <w:rPr>
                <w:rFonts w:ascii="宋体" w:hAnsi="宋体" w:eastAsia="宋体" w:cs="宋体"/>
                <w:spacing w:val="-2"/>
                <w:sz w:val="21"/>
                <w:szCs w:val="21"/>
              </w:rPr>
              <w:t>生产许可</w:t>
            </w:r>
          </w:p>
        </w:tc>
        <w:tc>
          <w:tcPr>
            <w:tcW w:w="1980" w:type="dxa"/>
            <w:vAlign w:val="top"/>
          </w:tcPr>
          <w:p>
            <w:pPr>
              <w:spacing w:line="307" w:lineRule="auto"/>
              <w:jc w:val="both"/>
              <w:rPr>
                <w:rFonts w:ascii="宋体"/>
                <w:sz w:val="21"/>
              </w:rPr>
            </w:pPr>
          </w:p>
          <w:p>
            <w:pPr>
              <w:spacing w:line="308" w:lineRule="auto"/>
              <w:jc w:val="both"/>
              <w:rPr>
                <w:rFonts w:ascii="宋体"/>
                <w:sz w:val="21"/>
              </w:rPr>
            </w:pPr>
          </w:p>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307" w:lineRule="auto"/>
              <w:jc w:val="both"/>
              <w:rPr>
                <w:rFonts w:ascii="宋体"/>
                <w:sz w:val="21"/>
              </w:rPr>
            </w:pPr>
          </w:p>
          <w:p>
            <w:pPr>
              <w:spacing w:line="308" w:lineRule="auto"/>
              <w:jc w:val="both"/>
              <w:rPr>
                <w:rFonts w:ascii="宋体"/>
                <w:sz w:val="21"/>
              </w:rPr>
            </w:pPr>
          </w:p>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危险化学品建设项目安全监督管理办法》（2012年4月国家安全监管总局令第45号，2015年5月修正）第二十五条：建设项目试生产期间，建设单位应当按照本办法的规定委托有相应资质的安全评价机构对建设项目及其安全设施试生产（使用）情况进行安全验收评价，且不得委托在可行性研究阶段进行安全评价的同一安全评价机构。</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444" w:type="dxa"/>
            <w:vMerge w:val="continue"/>
            <w:tcBorders>
              <w:top w:val="nil"/>
              <w:left w:val="single" w:color="000000" w:sz="12" w:space="0"/>
            </w:tcBorders>
            <w:vAlign w:val="center"/>
          </w:tcPr>
          <w:p>
            <w:pPr>
              <w:jc w:val="both"/>
              <w:rPr>
                <w:rFonts w:ascii="宋体"/>
                <w:sz w:val="21"/>
              </w:rPr>
            </w:pPr>
          </w:p>
        </w:tc>
        <w:tc>
          <w:tcPr>
            <w:tcW w:w="1466" w:type="dxa"/>
            <w:vAlign w:val="center"/>
          </w:tcPr>
          <w:p>
            <w:pPr>
              <w:spacing w:before="68" w:line="184" w:lineRule="auto"/>
              <w:ind w:firstLine="95"/>
              <w:jc w:val="both"/>
              <w:rPr>
                <w:rFonts w:ascii="宋体" w:hAnsi="宋体" w:eastAsia="宋体" w:cs="宋体"/>
                <w:sz w:val="21"/>
                <w:szCs w:val="21"/>
              </w:rPr>
            </w:pPr>
            <w:r>
              <w:rPr>
                <w:rFonts w:ascii="宋体" w:hAnsi="宋体" w:eastAsia="宋体" w:cs="宋体"/>
                <w:spacing w:val="-1"/>
                <w:sz w:val="21"/>
                <w:szCs w:val="21"/>
              </w:rPr>
              <w:t>烟花爆竹生产</w:t>
            </w:r>
          </w:p>
          <w:p>
            <w:pPr>
              <w:spacing w:before="63" w:line="184" w:lineRule="auto"/>
              <w:ind w:firstLine="100"/>
              <w:jc w:val="both"/>
              <w:rPr>
                <w:rFonts w:ascii="宋体" w:hAnsi="宋体" w:eastAsia="宋体" w:cs="宋体"/>
                <w:sz w:val="21"/>
                <w:szCs w:val="21"/>
              </w:rPr>
            </w:pPr>
            <w:r>
              <w:rPr>
                <w:rFonts w:ascii="宋体" w:hAnsi="宋体" w:eastAsia="宋体" w:cs="宋体"/>
                <w:spacing w:val="-2"/>
                <w:sz w:val="21"/>
                <w:szCs w:val="21"/>
              </w:rPr>
              <w:t>企业安全生产</w:t>
            </w:r>
          </w:p>
          <w:p>
            <w:pPr>
              <w:spacing w:before="63" w:line="184" w:lineRule="auto"/>
              <w:ind w:firstLine="516"/>
              <w:jc w:val="both"/>
              <w:rPr>
                <w:rFonts w:ascii="宋体" w:hAnsi="宋体" w:eastAsia="宋体" w:cs="宋体"/>
                <w:sz w:val="21"/>
                <w:szCs w:val="21"/>
              </w:rPr>
            </w:pPr>
            <w:r>
              <w:rPr>
                <w:rFonts w:ascii="宋体" w:hAnsi="宋体" w:eastAsia="宋体" w:cs="宋体"/>
                <w:spacing w:val="-2"/>
                <w:sz w:val="21"/>
                <w:szCs w:val="21"/>
              </w:rPr>
              <w:t>许可</w:t>
            </w:r>
          </w:p>
        </w:tc>
        <w:tc>
          <w:tcPr>
            <w:tcW w:w="1980" w:type="dxa"/>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keepNext w:val="0"/>
              <w:keepLines w:val="0"/>
              <w:pageBreakBefore w:val="0"/>
              <w:widowControl/>
              <w:numPr>
                <w:ilvl w:val="0"/>
                <w:numId w:val="19"/>
              </w:numPr>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《爆竹安全管理条例》（2006年1月国务院令第455号，2016年2月修订）第八条：生产烟花爆竹的企业，应当具备下列条件：……（九）依法进行了安全评价……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jc w:val="both"/>
              <w:textAlignment w:val="baseline"/>
              <w:rPr>
                <w:rFonts w:ascii="宋体" w:hAnsi="宋体" w:eastAsia="宋体" w:cs="宋体"/>
                <w:spacing w:val="-8"/>
                <w:sz w:val="21"/>
                <w:szCs w:val="21"/>
              </w:rPr>
            </w:pPr>
            <w:r>
              <w:rPr>
                <w:rFonts w:ascii="宋体" w:hAnsi="宋体" w:eastAsia="宋体" w:cs="宋体"/>
                <w:spacing w:val="-8"/>
                <w:sz w:val="21"/>
                <w:szCs w:val="21"/>
              </w:rPr>
              <w:t>2.《烟花爆竹生产企业安全生产许可证实施办法》（2012年7月国家安全监管总局令第54号，2015年5月修正）第二十条：企业应当依法进行安全评价。</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5" w:hRule="atLeast"/>
        </w:trPr>
        <w:tc>
          <w:tcPr>
            <w:tcW w:w="1444" w:type="dxa"/>
            <w:tcBorders>
              <w:left w:val="single" w:color="000000" w:sz="12" w:space="0"/>
              <w:bottom w:val="single" w:color="000000" w:sz="12" w:space="0"/>
            </w:tcBorders>
            <w:vAlign w:val="center"/>
          </w:tcPr>
          <w:p>
            <w:pPr>
              <w:spacing w:before="68" w:line="239" w:lineRule="auto"/>
              <w:ind w:left="497" w:right="173" w:hanging="345"/>
              <w:jc w:val="both"/>
              <w:rPr>
                <w:rFonts w:ascii="宋体" w:hAnsi="宋体" w:eastAsia="宋体" w:cs="宋体"/>
                <w:sz w:val="21"/>
                <w:szCs w:val="21"/>
              </w:rPr>
            </w:pPr>
            <w:r>
              <w:rPr>
                <w:rFonts w:ascii="Times New Roman" w:hAnsi="Times New Roman" w:eastAsia="Times New Roman" w:cs="Times New Roman"/>
                <w:spacing w:val="-1"/>
                <w:sz w:val="21"/>
                <w:szCs w:val="21"/>
              </w:rPr>
              <w:t>49.</w:t>
            </w:r>
            <w:r>
              <w:rPr>
                <w:rFonts w:ascii="宋体" w:hAnsi="宋体" w:eastAsia="宋体" w:cs="宋体"/>
                <w:spacing w:val="-1"/>
                <w:sz w:val="21"/>
                <w:szCs w:val="21"/>
              </w:rPr>
              <w:t>检测检验</w:t>
            </w:r>
            <w:r>
              <w:rPr>
                <w:rFonts w:ascii="宋体" w:hAnsi="宋体" w:eastAsia="宋体" w:cs="宋体"/>
                <w:spacing w:val="-2"/>
                <w:sz w:val="21"/>
                <w:szCs w:val="21"/>
              </w:rPr>
              <w:t>报告</w:t>
            </w:r>
          </w:p>
        </w:tc>
        <w:tc>
          <w:tcPr>
            <w:tcW w:w="1466" w:type="dxa"/>
            <w:tcBorders>
              <w:bottom w:val="single" w:color="000000" w:sz="12" w:space="0"/>
            </w:tcBorders>
            <w:vAlign w:val="center"/>
          </w:tcPr>
          <w:p>
            <w:pPr>
              <w:spacing w:before="69" w:line="184" w:lineRule="auto"/>
              <w:ind w:firstLine="100"/>
              <w:jc w:val="both"/>
              <w:rPr>
                <w:rFonts w:ascii="宋体" w:hAnsi="宋体" w:eastAsia="宋体" w:cs="宋体"/>
                <w:sz w:val="21"/>
                <w:szCs w:val="21"/>
              </w:rPr>
            </w:pPr>
            <w:r>
              <w:rPr>
                <w:rFonts w:ascii="宋体" w:hAnsi="宋体" w:eastAsia="宋体" w:cs="宋体"/>
                <w:spacing w:val="-2"/>
                <w:sz w:val="21"/>
                <w:szCs w:val="21"/>
              </w:rPr>
              <w:t>非煤矿矿山企</w:t>
            </w:r>
          </w:p>
          <w:p>
            <w:pPr>
              <w:spacing w:before="63" w:line="184" w:lineRule="auto"/>
              <w:ind w:firstLine="96"/>
              <w:jc w:val="both"/>
              <w:rPr>
                <w:rFonts w:ascii="宋体" w:hAnsi="宋体" w:eastAsia="宋体" w:cs="宋体"/>
                <w:sz w:val="21"/>
                <w:szCs w:val="21"/>
              </w:rPr>
            </w:pPr>
            <w:r>
              <w:rPr>
                <w:rFonts w:ascii="宋体" w:hAnsi="宋体" w:eastAsia="宋体" w:cs="宋体"/>
                <w:spacing w:val="-2"/>
                <w:sz w:val="21"/>
                <w:szCs w:val="21"/>
              </w:rPr>
              <w:t>业安全生产许</w:t>
            </w:r>
          </w:p>
          <w:p>
            <w:pPr>
              <w:spacing w:before="63" w:line="184" w:lineRule="auto"/>
              <w:ind w:firstLine="624"/>
              <w:jc w:val="both"/>
              <w:rPr>
                <w:rFonts w:ascii="宋体" w:hAnsi="宋体" w:eastAsia="宋体" w:cs="宋体"/>
                <w:sz w:val="21"/>
                <w:szCs w:val="21"/>
              </w:rPr>
            </w:pPr>
            <w:r>
              <w:rPr>
                <w:rFonts w:ascii="宋体" w:hAnsi="宋体" w:eastAsia="宋体" w:cs="宋体"/>
                <w:sz w:val="21"/>
                <w:szCs w:val="21"/>
              </w:rPr>
              <w:t>可</w:t>
            </w:r>
          </w:p>
        </w:tc>
        <w:tc>
          <w:tcPr>
            <w:tcW w:w="1980" w:type="dxa"/>
            <w:tcBorders>
              <w:bottom w:val="single" w:color="000000" w:sz="12" w:space="0"/>
            </w:tcBorders>
            <w:vAlign w:val="center"/>
          </w:tcPr>
          <w:p>
            <w:pPr>
              <w:spacing w:before="68" w:line="184" w:lineRule="auto"/>
              <w:ind w:firstLine="884"/>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20"/>
              </w:numPr>
              <w:kinsoku w:val="0"/>
              <w:wordWrap/>
              <w:overflowPunct/>
              <w:topLinePunct w:val="0"/>
              <w:autoSpaceDE w:val="0"/>
              <w:autoSpaceDN w:val="0"/>
              <w:bidi w:val="0"/>
              <w:adjustRightInd w:val="0"/>
              <w:snapToGrid w:val="0"/>
              <w:spacing w:line="280" w:lineRule="exact"/>
              <w:ind w:left="17" w:firstLine="19"/>
              <w:jc w:val="both"/>
              <w:textAlignment w:val="baseline"/>
              <w:rPr>
                <w:rFonts w:ascii="宋体" w:hAnsi="宋体" w:eastAsia="宋体" w:cs="宋体"/>
                <w:spacing w:val="-8"/>
                <w:sz w:val="21"/>
                <w:szCs w:val="21"/>
              </w:rPr>
            </w:pPr>
            <w:r>
              <w:rPr>
                <w:rFonts w:ascii="宋体" w:hAnsi="宋体" w:eastAsia="宋体" w:cs="宋体"/>
                <w:spacing w:val="-8"/>
                <w:sz w:val="21"/>
                <w:szCs w:val="21"/>
              </w:rPr>
              <w:t>《非煤矿矿山企业安全生产许可证实施办法》（2009年6月国家安全监管总局令第20号，2015年5月修正）第六条：非煤矿矿山企业取得安全生产许可证，应当具备下列安全生产条件：……（十）危险性较大的设备、设施按照国家有关规定进行定期检测检验；新建、改建、扩建工程项目依法进行安全评价，其安全设施经验收合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36" w:leftChars="0"/>
              <w:jc w:val="both"/>
              <w:textAlignment w:val="baseline"/>
              <w:rPr>
                <w:rFonts w:ascii="宋体" w:hAnsi="宋体" w:eastAsia="宋体" w:cs="宋体"/>
                <w:spacing w:val="-8"/>
                <w:sz w:val="21"/>
                <w:szCs w:val="21"/>
              </w:rPr>
            </w:pPr>
            <w:r>
              <w:rPr>
                <w:rFonts w:ascii="宋体" w:hAnsi="宋体" w:eastAsia="宋体" w:cs="宋体"/>
                <w:spacing w:val="-8"/>
                <w:sz w:val="21"/>
                <w:szCs w:val="21"/>
              </w:rPr>
              <w:t>2.《山东省非煤矿矿山企业安全生产许可证实施方案》（鲁安监发〔2009〕133号）：中央驻鲁、省管非煤矿矿山企业（含分公司、子公司及所属生产作业单位）向省安监局提出申请，其他非煤矿矿山企业向设区的市安监局提出申请。企业提出申请领取安全生产许可证，需提交下列材料：……（十一）危险性较大的设备、设施由具备相应资质的检测检验机构出具合格的检测检验报告。</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rPr>
          <w:rFonts w:ascii="宋体"/>
          <w:sz w:val="21"/>
        </w:rPr>
      </w:pPr>
    </w:p>
    <w:p>
      <w:pPr>
        <w:sectPr>
          <w:footerReference r:id="rId16" w:type="default"/>
          <w:pgSz w:w="16840" w:h="11905"/>
          <w:pgMar w:top="1011" w:right="1037" w:bottom="1822" w:left="1033" w:header="0" w:footer="1624" w:gutter="0"/>
          <w:pgBorders>
            <w:top w:val="none" w:sz="0" w:space="0"/>
            <w:left w:val="none" w:sz="0" w:space="0"/>
            <w:bottom w:val="none" w:sz="0" w:space="0"/>
            <w:right w:val="none" w:sz="0" w:space="0"/>
          </w:pgBorders>
          <w:pgNumType w:fmt="numberInDash"/>
          <w:cols w:space="720" w:num="1"/>
        </w:sectPr>
      </w:pPr>
    </w:p>
    <w:p/>
    <w:p/>
    <w:p>
      <w:pPr>
        <w:spacing w:line="92" w:lineRule="exact"/>
      </w:pPr>
    </w:p>
    <w:tbl>
      <w:tblPr>
        <w:tblStyle w:val="8"/>
        <w:tblW w:w="1473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1445" w:type="dxa"/>
            <w:tcBorders>
              <w:left w:val="single" w:color="000000" w:sz="12" w:space="0"/>
            </w:tcBorders>
            <w:vAlign w:val="top"/>
          </w:tcPr>
          <w:p>
            <w:pPr>
              <w:spacing w:line="355" w:lineRule="auto"/>
              <w:rPr>
                <w:rFonts w:ascii="宋体"/>
                <w:sz w:val="21"/>
              </w:rPr>
            </w:pPr>
          </w:p>
          <w:p>
            <w:pPr>
              <w:spacing w:before="69" w:line="184" w:lineRule="auto"/>
              <w:ind w:firstLine="54"/>
              <w:rPr>
                <w:rFonts w:ascii="宋体" w:hAnsi="宋体" w:eastAsia="宋体" w:cs="宋体"/>
                <w:sz w:val="21"/>
                <w:szCs w:val="21"/>
              </w:rPr>
            </w:pPr>
            <w:r>
              <w:rPr>
                <w:rFonts w:ascii="Times New Roman" w:hAnsi="Times New Roman" w:eastAsia="Times New Roman" w:cs="Times New Roman"/>
                <w:spacing w:val="-2"/>
                <w:sz w:val="21"/>
                <w:szCs w:val="21"/>
              </w:rPr>
              <w:t>50.</w:t>
            </w:r>
            <w:r>
              <w:rPr>
                <w:rFonts w:ascii="宋体" w:hAnsi="宋体" w:eastAsia="宋体" w:cs="宋体"/>
                <w:spacing w:val="-2"/>
                <w:sz w:val="21"/>
                <w:szCs w:val="21"/>
              </w:rPr>
              <w:t>库区外部安</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全距离实测图</w:t>
            </w:r>
          </w:p>
          <w:p>
            <w:pPr>
              <w:spacing w:before="63" w:line="184" w:lineRule="auto"/>
              <w:ind w:firstLine="78"/>
              <w:rPr>
                <w:rFonts w:ascii="宋体" w:hAnsi="宋体" w:eastAsia="宋体" w:cs="宋体"/>
                <w:sz w:val="21"/>
                <w:szCs w:val="21"/>
              </w:rPr>
            </w:pPr>
            <w:r>
              <w:rPr>
                <w:rFonts w:ascii="宋体" w:hAnsi="宋体" w:eastAsia="宋体" w:cs="宋体"/>
                <w:spacing w:val="-2"/>
                <w:sz w:val="21"/>
                <w:szCs w:val="21"/>
              </w:rPr>
              <w:t>和仓储平面布</w:t>
            </w:r>
          </w:p>
          <w:p>
            <w:pPr>
              <w:spacing w:before="63" w:line="184" w:lineRule="auto"/>
              <w:ind w:firstLine="501"/>
              <w:rPr>
                <w:rFonts w:ascii="宋体" w:hAnsi="宋体" w:eastAsia="宋体" w:cs="宋体"/>
                <w:sz w:val="21"/>
                <w:szCs w:val="21"/>
              </w:rPr>
            </w:pPr>
            <w:r>
              <w:rPr>
                <w:rFonts w:ascii="宋体" w:hAnsi="宋体" w:eastAsia="宋体" w:cs="宋体"/>
                <w:spacing w:val="-3"/>
                <w:sz w:val="21"/>
                <w:szCs w:val="21"/>
              </w:rPr>
              <w:t>置图</w:t>
            </w:r>
          </w:p>
        </w:tc>
        <w:tc>
          <w:tcPr>
            <w:tcW w:w="1466" w:type="dxa"/>
            <w:vAlign w:val="top"/>
          </w:tcPr>
          <w:p>
            <w:pPr>
              <w:spacing w:line="298" w:lineRule="auto"/>
              <w:rPr>
                <w:rFonts w:ascii="宋体"/>
                <w:sz w:val="21"/>
              </w:rPr>
            </w:pPr>
          </w:p>
          <w:p>
            <w:pPr>
              <w:spacing w:line="298" w:lineRule="auto"/>
              <w:rPr>
                <w:rFonts w:ascii="宋体"/>
                <w:sz w:val="21"/>
              </w:rPr>
            </w:pPr>
          </w:p>
          <w:p>
            <w:pPr>
              <w:spacing w:before="68" w:line="239" w:lineRule="auto"/>
              <w:ind w:left="101" w:right="113" w:hanging="7"/>
              <w:rPr>
                <w:rFonts w:ascii="宋体" w:hAnsi="宋体" w:eastAsia="宋体" w:cs="宋体"/>
                <w:sz w:val="21"/>
                <w:szCs w:val="21"/>
              </w:rPr>
            </w:pPr>
            <w:r>
              <w:rPr>
                <w:rFonts w:ascii="宋体" w:hAnsi="宋体" w:eastAsia="宋体" w:cs="宋体"/>
                <w:spacing w:val="-2"/>
                <w:sz w:val="21"/>
                <w:szCs w:val="21"/>
              </w:rPr>
              <w:t>烟花爆竹经营</w:t>
            </w:r>
            <w:r>
              <w:rPr>
                <w:rFonts w:ascii="宋体" w:hAnsi="宋体" w:eastAsia="宋体" w:cs="宋体"/>
                <w:spacing w:val="5"/>
                <w:sz w:val="21"/>
                <w:szCs w:val="21"/>
              </w:rPr>
              <w:t xml:space="preserve"> </w:t>
            </w:r>
            <w:r>
              <w:rPr>
                <w:rFonts w:ascii="宋体" w:hAnsi="宋体" w:eastAsia="宋体" w:cs="宋体"/>
                <w:spacing w:val="-4"/>
                <w:sz w:val="21"/>
                <w:szCs w:val="21"/>
              </w:rPr>
              <w:t>（批发）许可</w:t>
            </w:r>
          </w:p>
        </w:tc>
        <w:tc>
          <w:tcPr>
            <w:tcW w:w="1979" w:type="dxa"/>
            <w:vAlign w:val="top"/>
          </w:tcPr>
          <w:p>
            <w:pPr>
              <w:spacing w:line="357" w:lineRule="auto"/>
              <w:rPr>
                <w:rFonts w:ascii="宋体"/>
                <w:sz w:val="21"/>
              </w:rPr>
            </w:pPr>
          </w:p>
          <w:p>
            <w:pPr>
              <w:spacing w:line="357"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357" w:lineRule="auto"/>
              <w:rPr>
                <w:rFonts w:ascii="宋体"/>
                <w:sz w:val="21"/>
              </w:rPr>
            </w:pPr>
          </w:p>
          <w:p>
            <w:pPr>
              <w:spacing w:line="357"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top"/>
          </w:tcPr>
          <w:p>
            <w:pPr>
              <w:spacing w:before="338" w:line="239" w:lineRule="auto"/>
              <w:ind w:left="19" w:right="2" w:firstLine="1"/>
              <w:rPr>
                <w:rFonts w:ascii="宋体" w:hAnsi="宋体" w:eastAsia="宋体" w:cs="宋体"/>
                <w:sz w:val="21"/>
                <w:szCs w:val="21"/>
              </w:rPr>
            </w:pPr>
            <w:r>
              <w:rPr>
                <w:rFonts w:ascii="宋体" w:hAnsi="宋体" w:eastAsia="宋体" w:cs="宋体"/>
                <w:spacing w:val="-3"/>
                <w:sz w:val="21"/>
                <w:szCs w:val="21"/>
              </w:rPr>
              <w:t>《烟花爆竹经营许可实施办法》（</w:t>
            </w:r>
            <w:r>
              <w:rPr>
                <w:rFonts w:ascii="Times New Roman" w:hAnsi="Times New Roman" w:eastAsia="Times New Roman" w:cs="Times New Roman"/>
                <w:spacing w:val="-3"/>
                <w:sz w:val="21"/>
                <w:szCs w:val="21"/>
              </w:rPr>
              <w:t>2013</w:t>
            </w:r>
            <w:r>
              <w:rPr>
                <w:rFonts w:ascii="Times New Roman" w:hAnsi="Times New Roman" w:eastAsia="Times New Roman" w:cs="Times New Roman"/>
                <w:spacing w:val="27"/>
                <w:w w:val="101"/>
                <w:sz w:val="21"/>
                <w:szCs w:val="21"/>
              </w:rPr>
              <w:t xml:space="preserve"> </w:t>
            </w:r>
            <w:r>
              <w:rPr>
                <w:rFonts w:ascii="宋体" w:hAnsi="宋体" w:eastAsia="宋体" w:cs="宋体"/>
                <w:spacing w:val="-3"/>
                <w:sz w:val="21"/>
                <w:szCs w:val="21"/>
              </w:rPr>
              <w:t>年</w:t>
            </w:r>
            <w:r>
              <w:rPr>
                <w:rFonts w:ascii="宋体" w:hAnsi="宋体" w:eastAsia="宋体" w:cs="宋体"/>
                <w:spacing w:val="-29"/>
                <w:sz w:val="21"/>
                <w:szCs w:val="21"/>
              </w:rPr>
              <w:t xml:space="preserve"> </w:t>
            </w:r>
            <w:r>
              <w:rPr>
                <w:rFonts w:ascii="Times New Roman" w:hAnsi="Times New Roman" w:eastAsia="Times New Roman" w:cs="Times New Roman"/>
                <w:spacing w:val="-3"/>
                <w:sz w:val="21"/>
                <w:szCs w:val="21"/>
              </w:rPr>
              <w:t>10</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月国家安全监管总局</w:t>
            </w:r>
            <w:r>
              <w:rPr>
                <w:rFonts w:ascii="宋体" w:hAnsi="宋体" w:eastAsia="宋体" w:cs="宋体"/>
                <w:sz w:val="21"/>
                <w:szCs w:val="21"/>
              </w:rPr>
              <w:t xml:space="preserve"> </w:t>
            </w:r>
            <w:r>
              <w:rPr>
                <w:rFonts w:ascii="宋体" w:hAnsi="宋体" w:eastAsia="宋体" w:cs="宋体"/>
                <w:spacing w:val="-5"/>
                <w:sz w:val="21"/>
                <w:szCs w:val="21"/>
              </w:rPr>
              <w:t>令第</w:t>
            </w:r>
            <w:r>
              <w:rPr>
                <w:rFonts w:ascii="宋体" w:hAnsi="宋体" w:eastAsia="宋体" w:cs="宋体"/>
                <w:spacing w:val="-22"/>
                <w:sz w:val="21"/>
                <w:szCs w:val="21"/>
              </w:rPr>
              <w:t xml:space="preserve"> </w:t>
            </w:r>
            <w:r>
              <w:rPr>
                <w:rFonts w:ascii="Times New Roman" w:hAnsi="Times New Roman" w:eastAsia="Times New Roman" w:cs="Times New Roman"/>
                <w:spacing w:val="-5"/>
                <w:sz w:val="21"/>
                <w:szCs w:val="21"/>
              </w:rPr>
              <w:t>65</w:t>
            </w:r>
            <w:r>
              <w:rPr>
                <w:rFonts w:ascii="Times New Roman" w:hAnsi="Times New Roman" w:eastAsia="Times New Roman" w:cs="Times New Roman"/>
                <w:spacing w:val="33"/>
                <w:sz w:val="21"/>
                <w:szCs w:val="21"/>
              </w:rPr>
              <w:t xml:space="preserve"> </w:t>
            </w:r>
            <w:r>
              <w:rPr>
                <w:rFonts w:ascii="宋体" w:hAnsi="宋体" w:eastAsia="宋体" w:cs="宋体"/>
                <w:spacing w:val="-5"/>
                <w:sz w:val="21"/>
                <w:szCs w:val="21"/>
              </w:rPr>
              <w:t>号）第八条：批发企业申请领取批发许可证时，应当向发</w:t>
            </w:r>
            <w:r>
              <w:rPr>
                <w:rFonts w:ascii="宋体" w:hAnsi="宋体" w:eastAsia="宋体" w:cs="宋体"/>
                <w:sz w:val="21"/>
                <w:szCs w:val="21"/>
              </w:rPr>
              <w:t xml:space="preserve"> </w:t>
            </w:r>
            <w:r>
              <w:rPr>
                <w:rFonts w:ascii="宋体" w:hAnsi="宋体" w:eastAsia="宋体" w:cs="宋体"/>
                <w:spacing w:val="-19"/>
                <w:sz w:val="21"/>
                <w:szCs w:val="21"/>
              </w:rPr>
              <w:t>证机关提交下列申请文件、资料，并对其真实性负责</w:t>
            </w:r>
            <w:r>
              <w:rPr>
                <w:rFonts w:ascii="宋体" w:hAnsi="宋体" w:eastAsia="宋体" w:cs="宋体"/>
                <w:spacing w:val="2"/>
                <w:sz w:val="21"/>
                <w:szCs w:val="21"/>
              </w:rPr>
              <w:t>：（</w:t>
            </w:r>
            <w:r>
              <w:rPr>
                <w:rFonts w:ascii="宋体" w:hAnsi="宋体" w:eastAsia="宋体" w:cs="宋体"/>
                <w:spacing w:val="-19"/>
                <w:sz w:val="21"/>
                <w:szCs w:val="21"/>
              </w:rPr>
              <w:t>五）具备</w:t>
            </w:r>
            <w:r>
              <w:rPr>
                <w:rFonts w:ascii="宋体" w:hAnsi="宋体" w:eastAsia="宋体" w:cs="宋体"/>
                <w:sz w:val="21"/>
                <w:szCs w:val="21"/>
              </w:rPr>
              <w:t xml:space="preserve"> </w:t>
            </w:r>
            <w:r>
              <w:rPr>
                <w:rFonts w:ascii="宋体" w:hAnsi="宋体" w:eastAsia="宋体" w:cs="宋体"/>
                <w:spacing w:val="4"/>
                <w:sz w:val="21"/>
                <w:szCs w:val="21"/>
              </w:rPr>
              <w:t>相应资质的设计单位出具的库区外部安全距离实测图和库区仓储</w:t>
            </w:r>
            <w:r>
              <w:rPr>
                <w:rFonts w:ascii="宋体" w:hAnsi="宋体" w:eastAsia="宋体" w:cs="宋体"/>
                <w:spacing w:val="22"/>
                <w:sz w:val="21"/>
                <w:szCs w:val="21"/>
              </w:rPr>
              <w:t xml:space="preserve"> </w:t>
            </w:r>
            <w:r>
              <w:rPr>
                <w:rFonts w:ascii="宋体" w:hAnsi="宋体" w:eastAsia="宋体" w:cs="宋体"/>
                <w:spacing w:val="-5"/>
                <w:sz w:val="21"/>
                <w:szCs w:val="21"/>
              </w:rPr>
              <w:t>设施平面布置图。</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7" w:hRule="atLeast"/>
        </w:trPr>
        <w:tc>
          <w:tcPr>
            <w:tcW w:w="1445" w:type="dxa"/>
            <w:tcBorders>
              <w:left w:val="single" w:color="000000" w:sz="12" w:space="0"/>
              <w:bottom w:val="single" w:color="000000" w:sz="12" w:space="0"/>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9" w:line="239" w:lineRule="auto"/>
              <w:ind w:left="496" w:right="174" w:hanging="338"/>
              <w:rPr>
                <w:rFonts w:ascii="宋体" w:hAnsi="宋体" w:eastAsia="宋体" w:cs="宋体"/>
                <w:sz w:val="21"/>
                <w:szCs w:val="21"/>
              </w:rPr>
            </w:pPr>
            <w:r>
              <w:rPr>
                <w:rFonts w:ascii="Times New Roman" w:hAnsi="Times New Roman" w:eastAsia="Times New Roman" w:cs="Times New Roman"/>
                <w:spacing w:val="-2"/>
                <w:sz w:val="21"/>
                <w:szCs w:val="21"/>
              </w:rPr>
              <w:t>51.</w:t>
            </w:r>
            <w:r>
              <w:rPr>
                <w:rFonts w:ascii="宋体" w:hAnsi="宋体" w:eastAsia="宋体" w:cs="宋体"/>
                <w:spacing w:val="-2"/>
                <w:sz w:val="21"/>
                <w:szCs w:val="21"/>
              </w:rPr>
              <w:t>技术评价</w:t>
            </w:r>
            <w:r>
              <w:rPr>
                <w:rFonts w:ascii="宋体" w:hAnsi="宋体" w:eastAsia="宋体" w:cs="宋体"/>
                <w:spacing w:val="5"/>
                <w:sz w:val="21"/>
                <w:szCs w:val="21"/>
              </w:rPr>
              <w:t xml:space="preserve"> </w:t>
            </w:r>
            <w:r>
              <w:rPr>
                <w:rFonts w:ascii="宋体" w:hAnsi="宋体" w:eastAsia="宋体" w:cs="宋体"/>
                <w:spacing w:val="-2"/>
                <w:sz w:val="21"/>
                <w:szCs w:val="21"/>
              </w:rPr>
              <w:t>报告</w:t>
            </w:r>
          </w:p>
        </w:tc>
        <w:tc>
          <w:tcPr>
            <w:tcW w:w="1466" w:type="dxa"/>
            <w:tcBorders>
              <w:bottom w:val="single" w:color="000000" w:sz="12" w:space="0"/>
            </w:tcBorders>
            <w:vAlign w:val="top"/>
          </w:tcPr>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8" w:line="184" w:lineRule="auto"/>
              <w:ind w:firstLine="96"/>
              <w:rPr>
                <w:rFonts w:ascii="宋体" w:hAnsi="宋体" w:eastAsia="宋体" w:cs="宋体"/>
                <w:sz w:val="21"/>
                <w:szCs w:val="21"/>
              </w:rPr>
            </w:pPr>
            <w:r>
              <w:rPr>
                <w:rFonts w:ascii="宋体" w:hAnsi="宋体" w:eastAsia="宋体" w:cs="宋体"/>
                <w:spacing w:val="-2"/>
                <w:sz w:val="21"/>
                <w:szCs w:val="21"/>
              </w:rPr>
              <w:t>在公路用地范</w:t>
            </w:r>
          </w:p>
          <w:p>
            <w:pPr>
              <w:spacing w:before="63" w:line="184" w:lineRule="auto"/>
              <w:ind w:firstLine="114"/>
              <w:rPr>
                <w:rFonts w:ascii="宋体" w:hAnsi="宋体" w:eastAsia="宋体" w:cs="宋体"/>
                <w:sz w:val="21"/>
                <w:szCs w:val="21"/>
              </w:rPr>
            </w:pPr>
            <w:r>
              <w:rPr>
                <w:rFonts w:ascii="宋体" w:hAnsi="宋体" w:eastAsia="宋体" w:cs="宋体"/>
                <w:spacing w:val="-4"/>
                <w:sz w:val="21"/>
                <w:szCs w:val="21"/>
              </w:rPr>
              <w:t>围内设置非公</w:t>
            </w:r>
          </w:p>
          <w:p>
            <w:pPr>
              <w:spacing w:before="63" w:line="184" w:lineRule="auto"/>
              <w:ind w:firstLine="203"/>
              <w:rPr>
                <w:rFonts w:ascii="宋体" w:hAnsi="宋体" w:eastAsia="宋体" w:cs="宋体"/>
                <w:sz w:val="21"/>
                <w:szCs w:val="21"/>
              </w:rPr>
            </w:pPr>
            <w:r>
              <w:rPr>
                <w:rFonts w:ascii="宋体" w:hAnsi="宋体" w:eastAsia="宋体" w:cs="宋体"/>
                <w:spacing w:val="-2"/>
                <w:sz w:val="21"/>
                <w:szCs w:val="21"/>
              </w:rPr>
              <w:t>路标志许可</w:t>
            </w:r>
          </w:p>
        </w:tc>
        <w:tc>
          <w:tcPr>
            <w:tcW w:w="1979" w:type="dxa"/>
            <w:tcBorders>
              <w:bottom w:val="single" w:color="000000" w:sz="12" w:space="0"/>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8"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8"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280" w:lineRule="exact"/>
              <w:ind w:left="17" w:right="0" w:firstLine="0"/>
              <w:jc w:val="both"/>
              <w:textAlignment w:val="baseline"/>
              <w:rPr>
                <w:rFonts w:ascii="宋体" w:hAnsi="宋体" w:eastAsia="宋体" w:cs="宋体"/>
                <w:spacing w:val="-5"/>
                <w:sz w:val="21"/>
                <w:szCs w:val="21"/>
              </w:rPr>
            </w:pPr>
            <w:r>
              <w:rPr>
                <w:rFonts w:ascii="宋体" w:hAnsi="宋体" w:eastAsia="宋体" w:cs="宋体"/>
                <w:spacing w:val="-5"/>
                <w:sz w:val="21"/>
                <w:szCs w:val="21"/>
              </w:rPr>
              <w:t>《公路安全保护条例》第二十八条：申请进行涉路施工活动的建设单位应当向公路管理机构提交下列材料：（二）保障公路、公路附属设施质量和安全的技术评价报告。2.山东省交通运输厅《山东省国省道非公路管理办法》第十一条：设置非公路标志应当向许可机关提出申请，并提供下列材料：（四）符合有关技术标准和规范要求的施工图设计、施工方案及保障公路、公路附属设施质量和安全的技术评价报告。</w:t>
            </w:r>
          </w:p>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280" w:lineRule="exact"/>
              <w:ind w:left="17" w:right="0" w:firstLine="0"/>
              <w:jc w:val="both"/>
              <w:textAlignment w:val="baseline"/>
              <w:rPr>
                <w:rFonts w:ascii="宋体" w:hAnsi="宋体" w:eastAsia="宋体" w:cs="宋体"/>
                <w:sz w:val="21"/>
                <w:szCs w:val="21"/>
              </w:rPr>
            </w:pPr>
            <w:r>
              <w:rPr>
                <w:rFonts w:ascii="宋体" w:hAnsi="宋体" w:eastAsia="宋体" w:cs="宋体"/>
                <w:spacing w:val="-5"/>
                <w:sz w:val="21"/>
                <w:szCs w:val="21"/>
              </w:rPr>
              <w:t>第十二条：本办法所称的非公路标志技术评价，是指技术评价单位在法律、技术标准、规范等方面对非公路标志设置方案进行符合性审核，查找、分析和预测非公路标志设置后对公路、公路附属设施及其安全运行的影响，提出明确的评价结论及合理可行的意见和建议。技术评价单位应当客观、公正地开展工作，并对技术评价结论承担相应责任。技术评价单位应为非公路标志规划和设计单位以外具有相应公路专业资质的单位。</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pacing w:line="249" w:lineRule="auto"/>
        <w:rPr>
          <w:rFonts w:ascii="宋体"/>
          <w:sz w:val="21"/>
        </w:rPr>
      </w:pPr>
    </w:p>
    <w:tbl>
      <w:tblPr>
        <w:tblStyle w:val="8"/>
        <w:tblpPr w:leftFromText="180" w:rightFromText="180" w:vertAnchor="text" w:horzAnchor="page" w:tblpX="1169" w:tblpY="58"/>
        <w:tblOverlap w:val="never"/>
        <w:tblW w:w="14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1466"/>
        <w:gridCol w:w="1979"/>
        <w:gridCol w:w="1364"/>
        <w:gridCol w:w="6043"/>
        <w:gridCol w:w="1389"/>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45" w:type="dxa"/>
            <w:vMerge w:val="restart"/>
            <w:tcBorders>
              <w:top w:val="single" w:color="000000" w:sz="12" w:space="0"/>
              <w:left w:val="single" w:color="000000" w:sz="12" w:space="0"/>
              <w:bottom w:val="nil"/>
            </w:tcBorders>
            <w:vAlign w:val="top"/>
          </w:tcPr>
          <w:p>
            <w:pPr>
              <w:spacing w:before="277" w:line="239" w:lineRule="auto"/>
              <w:ind w:left="501" w:right="96" w:hanging="401"/>
              <w:rPr>
                <w:rFonts w:ascii="黑体" w:hAnsi="黑体" w:eastAsia="黑体" w:cs="黑体"/>
                <w:sz w:val="21"/>
                <w:szCs w:val="21"/>
              </w:rPr>
            </w:pPr>
            <w:r>
              <w:rPr>
                <w:rFonts w:ascii="黑体" w:hAnsi="黑体" w:eastAsia="黑体" w:cs="黑体"/>
                <w:spacing w:val="-5"/>
                <w:sz w:val="21"/>
                <w:szCs w:val="21"/>
              </w:rPr>
              <w:t>中介服务项目</w:t>
            </w:r>
            <w:r>
              <w:rPr>
                <w:rFonts w:ascii="黑体" w:hAnsi="黑体" w:eastAsia="黑体" w:cs="黑体"/>
                <w:sz w:val="21"/>
                <w:szCs w:val="21"/>
              </w:rPr>
              <w:t xml:space="preserve"> </w:t>
            </w:r>
            <w:r>
              <w:rPr>
                <w:rFonts w:ascii="黑体" w:hAnsi="黑体" w:eastAsia="黑体" w:cs="黑体"/>
                <w:spacing w:val="-3"/>
                <w:sz w:val="21"/>
                <w:szCs w:val="21"/>
              </w:rPr>
              <w:t>名称</w:t>
            </w:r>
          </w:p>
        </w:tc>
        <w:tc>
          <w:tcPr>
            <w:tcW w:w="4809" w:type="dxa"/>
            <w:gridSpan w:val="3"/>
            <w:tcBorders>
              <w:top w:val="single" w:color="000000" w:sz="12" w:space="0"/>
            </w:tcBorders>
            <w:vAlign w:val="top"/>
          </w:tcPr>
          <w:p>
            <w:pPr>
              <w:spacing w:before="192" w:line="184" w:lineRule="auto"/>
              <w:ind w:firstLine="1463"/>
              <w:rPr>
                <w:rFonts w:ascii="黑体" w:hAnsi="黑体" w:eastAsia="黑体" w:cs="黑体"/>
                <w:sz w:val="21"/>
                <w:szCs w:val="21"/>
              </w:rPr>
            </w:pPr>
            <w:r>
              <w:rPr>
                <w:rFonts w:ascii="黑体" w:hAnsi="黑体" w:eastAsia="黑体" w:cs="黑体"/>
                <w:spacing w:val="-2"/>
                <w:sz w:val="21"/>
                <w:szCs w:val="21"/>
              </w:rPr>
              <w:t>关联的政务服务事项</w:t>
            </w:r>
          </w:p>
        </w:tc>
        <w:tc>
          <w:tcPr>
            <w:tcW w:w="6043" w:type="dxa"/>
            <w:vMerge w:val="restart"/>
            <w:tcBorders>
              <w:top w:val="single" w:color="000000" w:sz="12" w:space="0"/>
              <w:bottom w:val="nil"/>
            </w:tcBorders>
            <w:vAlign w:val="top"/>
          </w:tcPr>
          <w:p>
            <w:pPr>
              <w:spacing w:line="303" w:lineRule="auto"/>
              <w:rPr>
                <w:rFonts w:ascii="宋体"/>
                <w:sz w:val="21"/>
              </w:rPr>
            </w:pPr>
          </w:p>
          <w:p>
            <w:pPr>
              <w:spacing w:before="68" w:line="184" w:lineRule="auto"/>
              <w:ind w:firstLine="2615"/>
              <w:rPr>
                <w:rFonts w:ascii="黑体" w:hAnsi="黑体" w:eastAsia="黑体" w:cs="黑体"/>
                <w:sz w:val="21"/>
                <w:szCs w:val="21"/>
              </w:rPr>
            </w:pPr>
            <w:r>
              <w:rPr>
                <w:rFonts w:ascii="黑体" w:hAnsi="黑体" w:eastAsia="黑体" w:cs="黑体"/>
                <w:spacing w:val="-3"/>
                <w:sz w:val="21"/>
                <w:szCs w:val="21"/>
              </w:rPr>
              <w:t>设定依据</w:t>
            </w:r>
          </w:p>
        </w:tc>
        <w:tc>
          <w:tcPr>
            <w:tcW w:w="1389" w:type="dxa"/>
            <w:vMerge w:val="restart"/>
            <w:tcBorders>
              <w:top w:val="single" w:color="000000" w:sz="12" w:space="0"/>
              <w:bottom w:val="nil"/>
            </w:tcBorders>
            <w:vAlign w:val="top"/>
          </w:tcPr>
          <w:p>
            <w:pPr>
              <w:spacing w:before="277" w:line="239" w:lineRule="auto"/>
              <w:ind w:left="498" w:right="155" w:hanging="308"/>
              <w:rPr>
                <w:rFonts w:ascii="黑体" w:hAnsi="黑体" w:eastAsia="黑体" w:cs="黑体"/>
                <w:sz w:val="21"/>
                <w:szCs w:val="21"/>
              </w:rPr>
            </w:pPr>
            <w:r>
              <w:rPr>
                <w:rFonts w:ascii="黑体" w:hAnsi="黑体" w:eastAsia="黑体" w:cs="黑体"/>
                <w:spacing w:val="-3"/>
                <w:sz w:val="21"/>
                <w:szCs w:val="21"/>
              </w:rPr>
              <w:t>收费标准及</w:t>
            </w:r>
            <w:r>
              <w:rPr>
                <w:rFonts w:ascii="黑体" w:hAnsi="黑体" w:eastAsia="黑体" w:cs="黑体"/>
                <w:spacing w:val="3"/>
                <w:sz w:val="21"/>
                <w:szCs w:val="21"/>
              </w:rPr>
              <w:t xml:space="preserve"> </w:t>
            </w:r>
            <w:r>
              <w:rPr>
                <w:rFonts w:ascii="黑体" w:hAnsi="黑体" w:eastAsia="黑体" w:cs="黑体"/>
                <w:spacing w:val="-2"/>
                <w:sz w:val="21"/>
                <w:szCs w:val="21"/>
              </w:rPr>
              <w:t>依据</w:t>
            </w:r>
          </w:p>
        </w:tc>
        <w:tc>
          <w:tcPr>
            <w:tcW w:w="1053" w:type="dxa"/>
            <w:vMerge w:val="restart"/>
            <w:tcBorders>
              <w:top w:val="single" w:color="000000" w:sz="12" w:space="0"/>
              <w:bottom w:val="nil"/>
              <w:right w:val="single" w:color="000000" w:sz="12" w:space="0"/>
            </w:tcBorders>
            <w:vAlign w:val="top"/>
          </w:tcPr>
          <w:p>
            <w:pPr>
              <w:spacing w:before="276" w:line="239" w:lineRule="auto"/>
              <w:ind w:firstLine="331"/>
              <w:rPr>
                <w:rFonts w:ascii="黑体" w:hAnsi="黑体" w:eastAsia="黑体" w:cs="黑体"/>
                <w:sz w:val="21"/>
                <w:szCs w:val="21"/>
              </w:rPr>
            </w:pPr>
            <w:r>
              <w:rPr>
                <w:rFonts w:ascii="黑体" w:hAnsi="黑体" w:eastAsia="黑体" w:cs="黑体"/>
                <w:spacing w:val="-3"/>
                <w:sz w:val="21"/>
                <w:szCs w:val="21"/>
              </w:rPr>
              <w:t>服务</w:t>
            </w:r>
          </w:p>
          <w:p>
            <w:pPr>
              <w:spacing w:line="204" w:lineRule="auto"/>
              <w:ind w:firstLine="341"/>
              <w:rPr>
                <w:rFonts w:ascii="黑体" w:hAnsi="黑体" w:eastAsia="黑体" w:cs="黑体"/>
                <w:sz w:val="21"/>
                <w:szCs w:val="21"/>
              </w:rPr>
            </w:pPr>
            <w:r>
              <w:rPr>
                <w:rFonts w:ascii="黑体" w:hAnsi="黑体" w:eastAsia="黑体" w:cs="黑体"/>
                <w:spacing w:val="-6"/>
                <w:sz w:val="21"/>
                <w:szCs w:val="21"/>
              </w:rPr>
              <w:t>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445" w:type="dxa"/>
            <w:vMerge w:val="continue"/>
            <w:tcBorders>
              <w:top w:val="nil"/>
              <w:left w:val="single" w:color="000000" w:sz="12" w:space="0"/>
            </w:tcBorders>
            <w:vAlign w:val="top"/>
          </w:tcPr>
          <w:p>
            <w:pPr>
              <w:rPr>
                <w:rFonts w:ascii="宋体"/>
                <w:sz w:val="21"/>
              </w:rPr>
            </w:pPr>
          </w:p>
        </w:tc>
        <w:tc>
          <w:tcPr>
            <w:tcW w:w="1466" w:type="dxa"/>
            <w:vAlign w:val="top"/>
          </w:tcPr>
          <w:p>
            <w:pPr>
              <w:spacing w:before="135" w:line="184" w:lineRule="auto"/>
              <w:ind w:firstLine="317"/>
              <w:rPr>
                <w:rFonts w:ascii="黑体" w:hAnsi="黑体" w:eastAsia="黑体" w:cs="黑体"/>
                <w:sz w:val="21"/>
                <w:szCs w:val="21"/>
              </w:rPr>
            </w:pPr>
            <w:r>
              <w:rPr>
                <w:rFonts w:ascii="黑体" w:hAnsi="黑体" w:eastAsia="黑体" w:cs="黑体"/>
                <w:spacing w:val="-4"/>
                <w:sz w:val="21"/>
                <w:szCs w:val="21"/>
              </w:rPr>
              <w:t>主项名称</w:t>
            </w:r>
          </w:p>
        </w:tc>
        <w:tc>
          <w:tcPr>
            <w:tcW w:w="1979" w:type="dxa"/>
            <w:vAlign w:val="top"/>
          </w:tcPr>
          <w:p>
            <w:pPr>
              <w:spacing w:before="135" w:line="184" w:lineRule="auto"/>
              <w:ind w:firstLine="573"/>
              <w:rPr>
                <w:rFonts w:ascii="黑体" w:hAnsi="黑体" w:eastAsia="黑体" w:cs="黑体"/>
                <w:sz w:val="21"/>
                <w:szCs w:val="21"/>
              </w:rPr>
            </w:pPr>
            <w:r>
              <w:rPr>
                <w:rFonts w:ascii="黑体" w:hAnsi="黑体" w:eastAsia="黑体" w:cs="黑体"/>
                <w:spacing w:val="-3"/>
                <w:sz w:val="21"/>
                <w:szCs w:val="21"/>
              </w:rPr>
              <w:t>子项名称</w:t>
            </w:r>
          </w:p>
        </w:tc>
        <w:tc>
          <w:tcPr>
            <w:tcW w:w="1364" w:type="dxa"/>
            <w:vAlign w:val="top"/>
          </w:tcPr>
          <w:p>
            <w:pPr>
              <w:spacing w:before="135" w:line="184" w:lineRule="auto"/>
              <w:ind w:firstLine="272"/>
              <w:rPr>
                <w:rFonts w:ascii="黑体" w:hAnsi="黑体" w:eastAsia="黑体" w:cs="黑体"/>
                <w:sz w:val="21"/>
                <w:szCs w:val="21"/>
              </w:rPr>
            </w:pPr>
            <w:r>
              <w:rPr>
                <w:rFonts w:ascii="黑体" w:hAnsi="黑体" w:eastAsia="黑体" w:cs="黑体"/>
                <w:spacing w:val="-3"/>
                <w:sz w:val="21"/>
                <w:szCs w:val="21"/>
              </w:rPr>
              <w:t>事项类型</w:t>
            </w:r>
          </w:p>
        </w:tc>
        <w:tc>
          <w:tcPr>
            <w:tcW w:w="6043" w:type="dxa"/>
            <w:vMerge w:val="continue"/>
            <w:tcBorders>
              <w:top w:val="nil"/>
            </w:tcBorders>
            <w:vAlign w:val="top"/>
          </w:tcPr>
          <w:p>
            <w:pPr>
              <w:rPr>
                <w:rFonts w:ascii="宋体"/>
                <w:sz w:val="21"/>
              </w:rPr>
            </w:pPr>
          </w:p>
        </w:tc>
        <w:tc>
          <w:tcPr>
            <w:tcW w:w="1389" w:type="dxa"/>
            <w:vMerge w:val="continue"/>
            <w:tcBorders>
              <w:top w:val="nil"/>
            </w:tcBorders>
            <w:vAlign w:val="top"/>
          </w:tcPr>
          <w:p>
            <w:pPr>
              <w:rPr>
                <w:rFonts w:ascii="宋体"/>
                <w:sz w:val="21"/>
              </w:rPr>
            </w:pPr>
          </w:p>
        </w:tc>
        <w:tc>
          <w:tcPr>
            <w:tcW w:w="1053" w:type="dxa"/>
            <w:vMerge w:val="continue"/>
            <w:tcBorders>
              <w:top w:val="nil"/>
              <w:right w:val="single" w:color="000000" w:sz="12" w:space="0"/>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1445" w:type="dxa"/>
            <w:tcBorders>
              <w:left w:val="single" w:color="000000" w:sz="12" w:space="0"/>
            </w:tcBorders>
            <w:vAlign w:val="top"/>
          </w:tcPr>
          <w:p>
            <w:pPr>
              <w:spacing w:line="310" w:lineRule="auto"/>
              <w:rPr>
                <w:rFonts w:ascii="宋体"/>
                <w:sz w:val="21"/>
              </w:rPr>
            </w:pPr>
          </w:p>
          <w:p>
            <w:pPr>
              <w:spacing w:line="310" w:lineRule="auto"/>
              <w:rPr>
                <w:rFonts w:ascii="宋体"/>
                <w:sz w:val="21"/>
              </w:rPr>
            </w:pPr>
          </w:p>
          <w:p>
            <w:pPr>
              <w:spacing w:line="310" w:lineRule="auto"/>
              <w:rPr>
                <w:rFonts w:ascii="宋体"/>
                <w:sz w:val="21"/>
              </w:rPr>
            </w:pPr>
          </w:p>
          <w:p>
            <w:pPr>
              <w:spacing w:before="69" w:line="239" w:lineRule="auto"/>
              <w:ind w:left="287" w:right="70" w:hanging="233"/>
              <w:rPr>
                <w:rFonts w:ascii="宋体" w:hAnsi="宋体" w:eastAsia="宋体" w:cs="宋体"/>
                <w:sz w:val="21"/>
                <w:szCs w:val="21"/>
              </w:rPr>
            </w:pPr>
            <w:r>
              <w:rPr>
                <w:rFonts w:ascii="Times New Roman" w:hAnsi="Times New Roman" w:eastAsia="Times New Roman" w:cs="Times New Roman"/>
                <w:spacing w:val="-2"/>
                <w:sz w:val="21"/>
                <w:szCs w:val="21"/>
              </w:rPr>
              <w:t>52.</w:t>
            </w:r>
            <w:r>
              <w:rPr>
                <w:rFonts w:ascii="宋体" w:hAnsi="宋体" w:eastAsia="宋体" w:cs="宋体"/>
                <w:spacing w:val="-2"/>
                <w:sz w:val="21"/>
                <w:szCs w:val="21"/>
              </w:rPr>
              <w:t>地震安全性</w:t>
            </w:r>
            <w:r>
              <w:rPr>
                <w:rFonts w:ascii="宋体" w:hAnsi="宋体" w:eastAsia="宋体" w:cs="宋体"/>
                <w:spacing w:val="6"/>
                <w:sz w:val="21"/>
                <w:szCs w:val="21"/>
              </w:rPr>
              <w:t xml:space="preserve"> </w:t>
            </w:r>
            <w:r>
              <w:rPr>
                <w:rFonts w:ascii="宋体" w:hAnsi="宋体" w:eastAsia="宋体" w:cs="宋体"/>
                <w:spacing w:val="-2"/>
                <w:sz w:val="21"/>
                <w:szCs w:val="21"/>
              </w:rPr>
              <w:t>评价报告</w:t>
            </w:r>
          </w:p>
        </w:tc>
        <w:tc>
          <w:tcPr>
            <w:tcW w:w="1466" w:type="dxa"/>
            <w:vAlign w:val="top"/>
          </w:tcPr>
          <w:p>
            <w:pPr>
              <w:spacing w:line="310" w:lineRule="auto"/>
              <w:rPr>
                <w:rFonts w:ascii="宋体"/>
                <w:sz w:val="21"/>
              </w:rPr>
            </w:pPr>
          </w:p>
          <w:p>
            <w:pPr>
              <w:spacing w:line="310" w:lineRule="auto"/>
              <w:rPr>
                <w:rFonts w:ascii="宋体"/>
                <w:sz w:val="21"/>
              </w:rPr>
            </w:pPr>
          </w:p>
          <w:p>
            <w:pPr>
              <w:spacing w:line="310" w:lineRule="auto"/>
              <w:rPr>
                <w:rFonts w:ascii="宋体"/>
                <w:sz w:val="21"/>
              </w:rPr>
            </w:pPr>
          </w:p>
          <w:p>
            <w:pPr>
              <w:spacing w:before="69" w:line="239" w:lineRule="auto"/>
              <w:ind w:left="308" w:right="113" w:hanging="211"/>
              <w:rPr>
                <w:rFonts w:ascii="宋体" w:hAnsi="宋体" w:eastAsia="宋体" w:cs="宋体"/>
                <w:sz w:val="21"/>
                <w:szCs w:val="21"/>
              </w:rPr>
            </w:pPr>
            <w:r>
              <w:rPr>
                <w:rFonts w:ascii="宋体" w:hAnsi="宋体" w:eastAsia="宋体" w:cs="宋体"/>
                <w:spacing w:val="-2"/>
                <w:sz w:val="21"/>
                <w:szCs w:val="21"/>
              </w:rPr>
              <w:t>建设工程抗震</w:t>
            </w:r>
            <w:r>
              <w:rPr>
                <w:rFonts w:ascii="宋体" w:hAnsi="宋体" w:eastAsia="宋体" w:cs="宋体"/>
                <w:spacing w:val="2"/>
                <w:sz w:val="21"/>
                <w:szCs w:val="21"/>
              </w:rPr>
              <w:t xml:space="preserve"> </w:t>
            </w:r>
            <w:r>
              <w:rPr>
                <w:rFonts w:ascii="宋体" w:hAnsi="宋体" w:eastAsia="宋体" w:cs="宋体"/>
                <w:spacing w:val="-3"/>
                <w:sz w:val="21"/>
                <w:szCs w:val="21"/>
              </w:rPr>
              <w:t>设防要求</w:t>
            </w:r>
          </w:p>
        </w:tc>
        <w:tc>
          <w:tcPr>
            <w:tcW w:w="1979"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883"/>
              <w:rPr>
                <w:rFonts w:ascii="宋体" w:hAnsi="宋体" w:eastAsia="宋体" w:cs="宋体"/>
                <w:sz w:val="21"/>
                <w:szCs w:val="21"/>
              </w:rPr>
            </w:pPr>
            <w:r>
              <w:rPr>
                <w:rFonts w:ascii="宋体" w:hAnsi="宋体" w:eastAsia="宋体" w:cs="宋体"/>
                <w:sz w:val="21"/>
                <w:szCs w:val="21"/>
              </w:rPr>
              <w:t>无</w:t>
            </w:r>
          </w:p>
        </w:tc>
        <w:tc>
          <w:tcPr>
            <w:tcW w:w="1364"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69" w:line="184" w:lineRule="auto"/>
              <w:ind w:firstLine="266"/>
              <w:rPr>
                <w:rFonts w:ascii="宋体" w:hAnsi="宋体" w:eastAsia="宋体" w:cs="宋体"/>
                <w:sz w:val="21"/>
                <w:szCs w:val="21"/>
              </w:rPr>
            </w:pPr>
            <w:r>
              <w:rPr>
                <w:rFonts w:ascii="宋体" w:hAnsi="宋体" w:eastAsia="宋体" w:cs="宋体"/>
                <w:spacing w:val="-2"/>
                <w:sz w:val="21"/>
                <w:szCs w:val="21"/>
              </w:rPr>
              <w:t>行政许可</w:t>
            </w:r>
          </w:p>
        </w:tc>
        <w:tc>
          <w:tcPr>
            <w:tcW w:w="6043" w:type="dxa"/>
            <w:vAlign w:val="center"/>
          </w:tcPr>
          <w:p>
            <w:pPr>
              <w:spacing w:before="48" w:line="211" w:lineRule="auto"/>
              <w:ind w:left="21" w:right="3" w:hanging="1"/>
              <w:jc w:val="both"/>
              <w:rPr>
                <w:rFonts w:ascii="宋体" w:hAnsi="宋体" w:eastAsia="宋体" w:cs="宋体"/>
                <w:sz w:val="21"/>
                <w:szCs w:val="21"/>
              </w:rPr>
            </w:pPr>
            <w:r>
              <w:rPr>
                <w:rFonts w:ascii="宋体" w:hAnsi="宋体" w:eastAsia="宋体" w:cs="宋体"/>
                <w:spacing w:val="-8"/>
                <w:sz w:val="21"/>
                <w:szCs w:val="21"/>
              </w:rPr>
              <w:t>《地震安全性评价管理条例》第十一条：下列建设工程必须进行地震安全性评价：</w:t>
            </w:r>
          </w:p>
          <w:p>
            <w:pPr>
              <w:spacing w:before="60" w:line="184" w:lineRule="auto"/>
              <w:ind w:firstLine="25"/>
              <w:jc w:val="both"/>
              <w:rPr>
                <w:rFonts w:ascii="宋体" w:hAnsi="宋体" w:eastAsia="宋体" w:cs="宋体"/>
                <w:sz w:val="21"/>
                <w:szCs w:val="21"/>
              </w:rPr>
            </w:pPr>
            <w:r>
              <w:rPr>
                <w:rFonts w:ascii="宋体" w:hAnsi="宋体" w:eastAsia="宋体" w:cs="宋体"/>
                <w:spacing w:val="-5"/>
                <w:sz w:val="21"/>
                <w:szCs w:val="21"/>
              </w:rPr>
              <w:t>（一）国家重大建设工程；</w:t>
            </w:r>
          </w:p>
          <w:p>
            <w:pPr>
              <w:spacing w:before="60" w:line="224" w:lineRule="auto"/>
              <w:ind w:left="19" w:right="3" w:firstLine="6"/>
              <w:jc w:val="both"/>
              <w:rPr>
                <w:rFonts w:ascii="宋体" w:hAnsi="宋体" w:eastAsia="宋体" w:cs="宋体"/>
                <w:spacing w:val="-2"/>
                <w:sz w:val="21"/>
                <w:szCs w:val="21"/>
              </w:rPr>
            </w:pPr>
            <w:r>
              <w:rPr>
                <w:rFonts w:ascii="宋体" w:hAnsi="宋体" w:eastAsia="宋体" w:cs="宋体"/>
                <w:spacing w:val="-6"/>
                <w:sz w:val="21"/>
                <w:szCs w:val="21"/>
              </w:rPr>
              <w:t>（</w:t>
            </w:r>
            <w:r>
              <w:rPr>
                <w:rFonts w:ascii="宋体" w:hAnsi="宋体" w:eastAsia="宋体" w:cs="宋体"/>
                <w:spacing w:val="-2"/>
                <w:sz w:val="21"/>
                <w:szCs w:val="21"/>
              </w:rPr>
              <w:t>二）受地震破坏后可能引发水灾、火灾、爆炸、剧毒或者强腐蚀性物质大量泄露或者其他严重次生灾害的建设工程，包括水库大坝、堤防和贮油、贮气、贮存易燃易爆、剧毒或者强腐蚀性物质的设施以及其他可能发生严重次生灾害的建设工程；</w:t>
            </w:r>
          </w:p>
          <w:p>
            <w:pPr>
              <w:spacing w:before="60" w:line="224" w:lineRule="auto"/>
              <w:ind w:left="19" w:right="3" w:firstLine="6"/>
              <w:jc w:val="both"/>
              <w:rPr>
                <w:rFonts w:ascii="宋体" w:hAnsi="宋体" w:eastAsia="宋体" w:cs="宋体"/>
                <w:spacing w:val="-2"/>
                <w:sz w:val="21"/>
                <w:szCs w:val="21"/>
              </w:rPr>
            </w:pPr>
            <w:r>
              <w:rPr>
                <w:rFonts w:ascii="宋体" w:hAnsi="宋体" w:eastAsia="宋体" w:cs="宋体"/>
                <w:spacing w:val="-2"/>
                <w:sz w:val="21"/>
                <w:szCs w:val="21"/>
              </w:rPr>
              <w:t>（三）受地震破坏后可能引发放射性污染的核电站和核设施建设工程；</w:t>
            </w:r>
          </w:p>
          <w:p>
            <w:pPr>
              <w:spacing w:before="60" w:line="224" w:lineRule="auto"/>
              <w:ind w:left="19" w:right="3" w:firstLine="6"/>
              <w:jc w:val="both"/>
              <w:rPr>
                <w:rFonts w:ascii="宋体" w:hAnsi="宋体" w:eastAsia="宋体" w:cs="宋体"/>
                <w:sz w:val="21"/>
                <w:szCs w:val="21"/>
              </w:rPr>
            </w:pPr>
            <w:r>
              <w:rPr>
                <w:rFonts w:ascii="宋体" w:hAnsi="宋体" w:eastAsia="宋体" w:cs="宋体"/>
                <w:spacing w:val="-2"/>
                <w:sz w:val="21"/>
                <w:szCs w:val="21"/>
              </w:rPr>
              <w:t>（四）省、自治区、直辖市认为对本行政区域有重大价值或者有重大影响的其他建设工程。</w:t>
            </w:r>
          </w:p>
        </w:tc>
        <w:tc>
          <w:tcPr>
            <w:tcW w:w="1389" w:type="dxa"/>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0" w:hRule="atLeast"/>
        </w:trPr>
        <w:tc>
          <w:tcPr>
            <w:tcW w:w="1445" w:type="dxa"/>
            <w:tcBorders>
              <w:left w:val="single" w:color="000000" w:sz="12" w:space="0"/>
              <w:bottom w:val="single" w:color="000000" w:sz="12" w:space="0"/>
            </w:tcBorders>
            <w:vAlign w:val="center"/>
          </w:tcPr>
          <w:p>
            <w:pPr>
              <w:spacing w:before="68" w:line="239" w:lineRule="auto"/>
              <w:ind w:left="392" w:right="70" w:hanging="338"/>
              <w:jc w:val="both"/>
              <w:rPr>
                <w:rFonts w:ascii="宋体" w:hAnsi="宋体" w:eastAsia="宋体" w:cs="宋体"/>
                <w:sz w:val="21"/>
                <w:szCs w:val="21"/>
              </w:rPr>
            </w:pPr>
            <w:r>
              <w:rPr>
                <w:rFonts w:ascii="Times New Roman" w:hAnsi="Times New Roman" w:eastAsia="Times New Roman" w:cs="Times New Roman"/>
                <w:spacing w:val="-2"/>
                <w:sz w:val="21"/>
                <w:szCs w:val="21"/>
              </w:rPr>
              <w:t>53.</w:t>
            </w:r>
            <w:r>
              <w:rPr>
                <w:rFonts w:ascii="宋体" w:hAnsi="宋体" w:eastAsia="宋体" w:cs="宋体"/>
                <w:spacing w:val="-2"/>
                <w:sz w:val="21"/>
                <w:szCs w:val="21"/>
              </w:rPr>
              <w:t>检定或者校准证书</w:t>
            </w:r>
          </w:p>
        </w:tc>
        <w:tc>
          <w:tcPr>
            <w:tcW w:w="1466" w:type="dxa"/>
            <w:tcBorders>
              <w:bottom w:val="single" w:color="000000" w:sz="12" w:space="0"/>
            </w:tcBorders>
            <w:vAlign w:val="center"/>
          </w:tcPr>
          <w:p>
            <w:pPr>
              <w:spacing w:before="68" w:line="239" w:lineRule="auto"/>
              <w:ind w:left="518" w:right="113" w:hanging="422"/>
              <w:jc w:val="both"/>
              <w:rPr>
                <w:rFonts w:ascii="宋体" w:hAnsi="宋体" w:eastAsia="宋体" w:cs="宋体"/>
                <w:sz w:val="21"/>
                <w:szCs w:val="21"/>
              </w:rPr>
            </w:pPr>
            <w:r>
              <w:rPr>
                <w:rFonts w:ascii="宋体" w:hAnsi="宋体" w:eastAsia="宋体" w:cs="宋体"/>
                <w:spacing w:val="-2"/>
                <w:sz w:val="21"/>
                <w:szCs w:val="21"/>
              </w:rPr>
              <w:t>计量标准器具</w:t>
            </w:r>
            <w:r>
              <w:rPr>
                <w:rFonts w:ascii="宋体" w:hAnsi="宋体" w:eastAsia="宋体" w:cs="宋体"/>
                <w:spacing w:val="-3"/>
                <w:sz w:val="21"/>
                <w:szCs w:val="21"/>
              </w:rPr>
              <w:t>核准</w:t>
            </w:r>
          </w:p>
        </w:tc>
        <w:tc>
          <w:tcPr>
            <w:tcW w:w="1979" w:type="dxa"/>
            <w:tcBorders>
              <w:bottom w:val="single" w:color="000000" w:sz="12" w:space="0"/>
            </w:tcBorders>
            <w:vAlign w:val="center"/>
          </w:tcPr>
          <w:p>
            <w:pPr>
              <w:spacing w:before="68" w:line="184" w:lineRule="auto"/>
              <w:ind w:firstLine="883"/>
              <w:jc w:val="both"/>
              <w:rPr>
                <w:rFonts w:ascii="宋体" w:hAnsi="宋体" w:eastAsia="宋体" w:cs="宋体"/>
                <w:sz w:val="21"/>
                <w:szCs w:val="21"/>
              </w:rPr>
            </w:pPr>
            <w:r>
              <w:rPr>
                <w:rFonts w:ascii="宋体" w:hAnsi="宋体" w:eastAsia="宋体" w:cs="宋体"/>
                <w:sz w:val="21"/>
                <w:szCs w:val="21"/>
              </w:rPr>
              <w:t>无</w:t>
            </w:r>
          </w:p>
        </w:tc>
        <w:tc>
          <w:tcPr>
            <w:tcW w:w="1364" w:type="dxa"/>
            <w:tcBorders>
              <w:bottom w:val="single" w:color="000000" w:sz="12" w:space="0"/>
            </w:tcBorders>
            <w:vAlign w:val="center"/>
          </w:tcPr>
          <w:p>
            <w:pPr>
              <w:spacing w:before="68" w:line="184" w:lineRule="auto"/>
              <w:ind w:firstLine="266"/>
              <w:jc w:val="both"/>
              <w:rPr>
                <w:rFonts w:ascii="宋体" w:hAnsi="宋体" w:eastAsia="宋体" w:cs="宋体"/>
                <w:sz w:val="21"/>
                <w:szCs w:val="21"/>
              </w:rPr>
            </w:pPr>
            <w:r>
              <w:rPr>
                <w:rFonts w:ascii="宋体" w:hAnsi="宋体" w:eastAsia="宋体" w:cs="宋体"/>
                <w:spacing w:val="-2"/>
                <w:sz w:val="21"/>
                <w:szCs w:val="21"/>
              </w:rPr>
              <w:t>行政许可</w:t>
            </w:r>
          </w:p>
        </w:tc>
        <w:tc>
          <w:tcPr>
            <w:tcW w:w="6043" w:type="dxa"/>
            <w:tcBorders>
              <w:bottom w:val="single" w:color="000000" w:sz="12" w:space="0"/>
            </w:tcBorders>
            <w:vAlign w:val="center"/>
          </w:tcPr>
          <w:p>
            <w:pPr>
              <w:spacing w:before="61" w:line="237" w:lineRule="auto"/>
              <w:ind w:left="20" w:right="2"/>
              <w:jc w:val="both"/>
              <w:rPr>
                <w:rFonts w:ascii="宋体" w:hAnsi="宋体" w:eastAsia="宋体" w:cs="宋体"/>
                <w:sz w:val="21"/>
                <w:szCs w:val="21"/>
              </w:rPr>
            </w:pPr>
            <w:r>
              <w:rPr>
                <w:rFonts w:ascii="宋体" w:hAnsi="宋体" w:eastAsia="宋体" w:cs="宋体"/>
                <w:spacing w:val="-2"/>
                <w:sz w:val="21"/>
                <w:szCs w:val="21"/>
              </w:rPr>
              <w:t>《计量标准考核办法》（国家质检总局令第</w:t>
            </w:r>
            <w:r>
              <w:rPr>
                <w:rFonts w:ascii="Times New Roman" w:hAnsi="Times New Roman" w:eastAsia="Times New Roman" w:cs="Times New Roman"/>
                <w:spacing w:val="-2"/>
                <w:sz w:val="21"/>
                <w:szCs w:val="21"/>
              </w:rPr>
              <w:t>72</w:t>
            </w:r>
            <w:r>
              <w:rPr>
                <w:rFonts w:ascii="宋体" w:hAnsi="宋体" w:eastAsia="宋体" w:cs="宋体"/>
                <w:spacing w:val="-2"/>
                <w:sz w:val="21"/>
                <w:szCs w:val="21"/>
              </w:rPr>
              <w:t>号）第八条：申请</w:t>
            </w:r>
            <w:r>
              <w:rPr>
                <w:rFonts w:ascii="宋体" w:hAnsi="宋体" w:eastAsia="宋体" w:cs="宋体"/>
                <w:spacing w:val="-8"/>
                <w:sz w:val="21"/>
                <w:szCs w:val="21"/>
              </w:rPr>
              <w:t>新建计量标准考核，申请计量标准考核的单位（以下简称申请考核</w:t>
            </w:r>
            <w:r>
              <w:rPr>
                <w:rFonts w:ascii="宋体" w:hAnsi="宋体" w:eastAsia="宋体" w:cs="宋体"/>
                <w:spacing w:val="-3"/>
                <w:sz w:val="21"/>
                <w:szCs w:val="21"/>
              </w:rPr>
              <w:t>单位）应当向主持考核的市场监督管理部门递交以下申请资料：（一）计量标准考核（复查）申请书和计量标准技术报告；</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（二）计量标准器及配套的主要计量设备有效检定或者校准证书，以及可以证明计量标准具有相应测量能力的其他技术资料复印件各1份。</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第九条：申请计量标准复查考核，申请考核单位应当向主持考核的市场监督管理部门递交以下申请资料：</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（一）计量标准考核（复查）申请书和计量标准技术报告；</w:t>
            </w:r>
          </w:p>
          <w:p>
            <w:pPr>
              <w:spacing w:before="61" w:line="237" w:lineRule="auto"/>
              <w:ind w:left="20" w:right="2"/>
              <w:jc w:val="both"/>
              <w:rPr>
                <w:rFonts w:ascii="宋体" w:hAnsi="宋体" w:eastAsia="宋体" w:cs="宋体"/>
                <w:spacing w:val="-3"/>
                <w:sz w:val="21"/>
                <w:szCs w:val="21"/>
              </w:rPr>
            </w:pPr>
            <w:r>
              <w:rPr>
                <w:rFonts w:ascii="宋体" w:hAnsi="宋体" w:eastAsia="宋体" w:cs="宋体"/>
                <w:spacing w:val="-3"/>
                <w:sz w:val="21"/>
                <w:szCs w:val="21"/>
              </w:rPr>
              <w:t>（二）计量标准考核证书有效期内计量标准器及配套的主要计量设备的有效检定或者校准证书，以及可以证明计量标准具有相应测量能力的其他技术资料复印件各1份；</w:t>
            </w:r>
          </w:p>
          <w:p>
            <w:pPr>
              <w:spacing w:before="61" w:line="237" w:lineRule="auto"/>
              <w:ind w:left="20" w:right="2"/>
              <w:jc w:val="both"/>
              <w:rPr>
                <w:rFonts w:ascii="宋体" w:hAnsi="宋体" w:eastAsia="宋体" w:cs="宋体"/>
                <w:sz w:val="21"/>
                <w:szCs w:val="21"/>
              </w:rPr>
            </w:pPr>
            <w:r>
              <w:rPr>
                <w:rFonts w:ascii="宋体" w:hAnsi="宋体" w:eastAsia="宋体" w:cs="宋体"/>
                <w:spacing w:val="-3"/>
                <w:sz w:val="21"/>
                <w:szCs w:val="21"/>
              </w:rPr>
              <w:t>（三）计量标准封存、注销、更换等相关申请材料（如果适用）复印件1份。</w:t>
            </w:r>
          </w:p>
        </w:tc>
        <w:tc>
          <w:tcPr>
            <w:tcW w:w="1389" w:type="dxa"/>
            <w:tcBorders>
              <w:bottom w:val="single" w:color="000000" w:sz="12" w:space="0"/>
            </w:tcBorders>
            <w:vAlign w:val="center"/>
          </w:tcPr>
          <w:p>
            <w:pPr>
              <w:spacing w:before="69" w:line="239" w:lineRule="auto"/>
              <w:ind w:left="0" w:leftChars="0" w:right="90" w:rightChars="0" w:firstLine="0" w:firstLineChars="0"/>
              <w:jc w:val="center"/>
              <w:rPr>
                <w:rFonts w:ascii="宋体" w:hAnsi="宋体" w:eastAsia="宋体" w:cs="宋体"/>
                <w:spacing w:val="1"/>
                <w:sz w:val="21"/>
                <w:szCs w:val="21"/>
              </w:rPr>
            </w:pPr>
            <w:r>
              <w:rPr>
                <w:rFonts w:ascii="宋体" w:hAnsi="宋体" w:eastAsia="宋体" w:cs="宋体"/>
                <w:spacing w:val="-3"/>
                <w:sz w:val="21"/>
                <w:szCs w:val="21"/>
              </w:rPr>
              <w:t>市场调节</w:t>
            </w:r>
            <w:r>
              <w:rPr>
                <w:rFonts w:ascii="宋体" w:hAnsi="宋体" w:eastAsia="宋体" w:cs="宋体"/>
                <w:spacing w:val="1"/>
                <w:sz w:val="21"/>
                <w:szCs w:val="21"/>
              </w:rPr>
              <w:t xml:space="preserve"> </w:t>
            </w:r>
          </w:p>
          <w:p>
            <w:pPr>
              <w:spacing w:before="69" w:line="239" w:lineRule="auto"/>
              <w:ind w:left="0" w:leftChars="0" w:right="90" w:rightChars="0" w:firstLine="0" w:firstLineChars="0"/>
              <w:jc w:val="center"/>
              <w:rPr>
                <w:rFonts w:ascii="宋体" w:hAnsi="宋体" w:eastAsia="宋体" w:cs="宋体"/>
                <w:sz w:val="21"/>
                <w:szCs w:val="21"/>
              </w:rPr>
            </w:pPr>
            <w:r>
              <w:rPr>
                <w:rFonts w:ascii="宋体" w:hAnsi="宋体" w:eastAsia="宋体" w:cs="宋体"/>
                <w:spacing w:val="-3"/>
                <w:sz w:val="21"/>
                <w:szCs w:val="21"/>
              </w:rPr>
              <w:t>价格</w:t>
            </w:r>
          </w:p>
        </w:tc>
        <w:tc>
          <w:tcPr>
            <w:tcW w:w="1053" w:type="dxa"/>
            <w:tcBorders>
              <w:bottom w:val="single" w:color="000000" w:sz="12" w:space="0"/>
              <w:right w:val="single" w:color="000000" w:sz="12" w:space="0"/>
            </w:tcBorders>
            <w:vAlign w:val="center"/>
          </w:tcPr>
          <w:p>
            <w:pPr>
              <w:spacing w:before="69" w:line="239" w:lineRule="auto"/>
              <w:ind w:right="84" w:rightChars="0"/>
              <w:jc w:val="center"/>
              <w:rPr>
                <w:rFonts w:ascii="宋体" w:hAnsi="宋体" w:eastAsia="宋体" w:cs="宋体"/>
                <w:sz w:val="21"/>
                <w:szCs w:val="21"/>
              </w:rPr>
            </w:pPr>
            <w:r>
              <w:rPr>
                <w:rFonts w:ascii="宋体" w:hAnsi="宋体" w:eastAsia="宋体" w:cs="宋体"/>
                <w:spacing w:val="-3"/>
                <w:sz w:val="21"/>
                <w:szCs w:val="21"/>
              </w:rPr>
              <w:t>双方协商</w:t>
            </w:r>
            <w:r>
              <w:rPr>
                <w:rFonts w:ascii="宋体" w:hAnsi="宋体" w:eastAsia="宋体" w:cs="宋体"/>
                <w:spacing w:val="3"/>
                <w:sz w:val="21"/>
                <w:szCs w:val="21"/>
              </w:rPr>
              <w:t xml:space="preserve"> </w:t>
            </w:r>
            <w:r>
              <w:rPr>
                <w:rFonts w:ascii="宋体" w:hAnsi="宋体" w:eastAsia="宋体" w:cs="宋体"/>
                <w:spacing w:val="-3"/>
                <w:sz w:val="21"/>
                <w:szCs w:val="21"/>
              </w:rPr>
              <w:t>约定</w:t>
            </w:r>
          </w:p>
        </w:tc>
      </w:tr>
    </w:tbl>
    <w:p>
      <w:pPr>
        <w:sectPr>
          <w:footerReference r:id="rId17" w:type="default"/>
          <w:pgSz w:w="16840" w:h="11905"/>
          <w:pgMar w:top="1011" w:right="1037" w:bottom="1821" w:left="1033" w:header="0" w:footer="1624"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8"/>
          <w:szCs w:val="28"/>
        </w:rPr>
      </w:pPr>
    </w:p>
    <w:sectPr>
      <w:footerReference r:id="rId18" w:type="default"/>
      <w:pgSz w:w="11905" w:h="16840"/>
      <w:pgMar w:top="1431" w:right="1604" w:bottom="400" w:left="1587"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firstLine="787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UAAU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QABQ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0dXP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jR1c8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DvuM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g77jB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951"/>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8D43"/>
    <w:multiLevelType w:val="singleLevel"/>
    <w:tmpl w:val="8FF78D43"/>
    <w:lvl w:ilvl="0" w:tentative="0">
      <w:start w:val="1"/>
      <w:numFmt w:val="decimal"/>
      <w:lvlText w:val="%1."/>
      <w:lvlJc w:val="left"/>
      <w:pPr>
        <w:tabs>
          <w:tab w:val="left" w:pos="312"/>
        </w:tabs>
      </w:pPr>
    </w:lvl>
  </w:abstractNum>
  <w:abstractNum w:abstractNumId="1">
    <w:nsid w:val="975F07FA"/>
    <w:multiLevelType w:val="singleLevel"/>
    <w:tmpl w:val="975F07FA"/>
    <w:lvl w:ilvl="0" w:tentative="0">
      <w:start w:val="1"/>
      <w:numFmt w:val="decimal"/>
      <w:lvlText w:val="%1."/>
      <w:lvlJc w:val="left"/>
      <w:pPr>
        <w:tabs>
          <w:tab w:val="left" w:pos="312"/>
        </w:tabs>
      </w:pPr>
    </w:lvl>
  </w:abstractNum>
  <w:abstractNum w:abstractNumId="2">
    <w:nsid w:val="98585363"/>
    <w:multiLevelType w:val="singleLevel"/>
    <w:tmpl w:val="98585363"/>
    <w:lvl w:ilvl="0" w:tentative="0">
      <w:start w:val="1"/>
      <w:numFmt w:val="decimal"/>
      <w:lvlText w:val="%1."/>
      <w:lvlJc w:val="left"/>
      <w:pPr>
        <w:tabs>
          <w:tab w:val="left" w:pos="312"/>
        </w:tabs>
      </w:pPr>
    </w:lvl>
  </w:abstractNum>
  <w:abstractNum w:abstractNumId="3">
    <w:nsid w:val="A0707951"/>
    <w:multiLevelType w:val="singleLevel"/>
    <w:tmpl w:val="A0707951"/>
    <w:lvl w:ilvl="0" w:tentative="0">
      <w:start w:val="1"/>
      <w:numFmt w:val="decimal"/>
      <w:lvlText w:val="%1."/>
      <w:lvlJc w:val="left"/>
      <w:pPr>
        <w:tabs>
          <w:tab w:val="left" w:pos="312"/>
        </w:tabs>
      </w:pPr>
    </w:lvl>
  </w:abstractNum>
  <w:abstractNum w:abstractNumId="4">
    <w:nsid w:val="A568A765"/>
    <w:multiLevelType w:val="singleLevel"/>
    <w:tmpl w:val="A568A765"/>
    <w:lvl w:ilvl="0" w:tentative="0">
      <w:start w:val="1"/>
      <w:numFmt w:val="decimal"/>
      <w:lvlText w:val="%1."/>
      <w:lvlJc w:val="left"/>
      <w:pPr>
        <w:tabs>
          <w:tab w:val="left" w:pos="312"/>
        </w:tabs>
      </w:pPr>
    </w:lvl>
  </w:abstractNum>
  <w:abstractNum w:abstractNumId="5">
    <w:nsid w:val="C2CF647A"/>
    <w:multiLevelType w:val="singleLevel"/>
    <w:tmpl w:val="C2CF647A"/>
    <w:lvl w:ilvl="0" w:tentative="0">
      <w:start w:val="1"/>
      <w:numFmt w:val="decimal"/>
      <w:lvlText w:val="%1."/>
      <w:lvlJc w:val="left"/>
      <w:pPr>
        <w:tabs>
          <w:tab w:val="left" w:pos="312"/>
        </w:tabs>
      </w:pPr>
    </w:lvl>
  </w:abstractNum>
  <w:abstractNum w:abstractNumId="6">
    <w:nsid w:val="C55E95A2"/>
    <w:multiLevelType w:val="singleLevel"/>
    <w:tmpl w:val="C55E95A2"/>
    <w:lvl w:ilvl="0" w:tentative="0">
      <w:start w:val="1"/>
      <w:numFmt w:val="decimal"/>
      <w:lvlText w:val="%1."/>
      <w:lvlJc w:val="left"/>
      <w:pPr>
        <w:tabs>
          <w:tab w:val="left" w:pos="312"/>
        </w:tabs>
      </w:pPr>
    </w:lvl>
  </w:abstractNum>
  <w:abstractNum w:abstractNumId="7">
    <w:nsid w:val="C984763B"/>
    <w:multiLevelType w:val="singleLevel"/>
    <w:tmpl w:val="C984763B"/>
    <w:lvl w:ilvl="0" w:tentative="0">
      <w:start w:val="1"/>
      <w:numFmt w:val="decimal"/>
      <w:suff w:val="space"/>
      <w:lvlText w:val="%1."/>
      <w:lvlJc w:val="left"/>
    </w:lvl>
  </w:abstractNum>
  <w:abstractNum w:abstractNumId="8">
    <w:nsid w:val="D14C5413"/>
    <w:multiLevelType w:val="singleLevel"/>
    <w:tmpl w:val="D14C5413"/>
    <w:lvl w:ilvl="0" w:tentative="0">
      <w:start w:val="1"/>
      <w:numFmt w:val="decimal"/>
      <w:lvlText w:val="%1."/>
      <w:lvlJc w:val="left"/>
      <w:pPr>
        <w:tabs>
          <w:tab w:val="left" w:pos="312"/>
        </w:tabs>
      </w:pPr>
    </w:lvl>
  </w:abstractNum>
  <w:abstractNum w:abstractNumId="9">
    <w:nsid w:val="D179B4FE"/>
    <w:multiLevelType w:val="singleLevel"/>
    <w:tmpl w:val="D179B4FE"/>
    <w:lvl w:ilvl="0" w:tentative="0">
      <w:start w:val="1"/>
      <w:numFmt w:val="decimal"/>
      <w:lvlText w:val="%1."/>
      <w:lvlJc w:val="left"/>
      <w:pPr>
        <w:tabs>
          <w:tab w:val="left" w:pos="312"/>
        </w:tabs>
      </w:pPr>
    </w:lvl>
  </w:abstractNum>
  <w:abstractNum w:abstractNumId="10">
    <w:nsid w:val="DFEA6814"/>
    <w:multiLevelType w:val="singleLevel"/>
    <w:tmpl w:val="DFEA6814"/>
    <w:lvl w:ilvl="0" w:tentative="0">
      <w:start w:val="18"/>
      <w:numFmt w:val="decimal"/>
      <w:lvlText w:val="%1."/>
      <w:lvlJc w:val="left"/>
      <w:pPr>
        <w:tabs>
          <w:tab w:val="left" w:pos="312"/>
        </w:tabs>
      </w:pPr>
    </w:lvl>
  </w:abstractNum>
  <w:abstractNum w:abstractNumId="11">
    <w:nsid w:val="DFFA5A6E"/>
    <w:multiLevelType w:val="singleLevel"/>
    <w:tmpl w:val="DFFA5A6E"/>
    <w:lvl w:ilvl="0" w:tentative="0">
      <w:start w:val="10"/>
      <w:numFmt w:val="decimal"/>
      <w:lvlText w:val="%1."/>
      <w:lvlJc w:val="left"/>
      <w:pPr>
        <w:tabs>
          <w:tab w:val="left" w:pos="312"/>
        </w:tabs>
      </w:pPr>
    </w:lvl>
  </w:abstractNum>
  <w:abstractNum w:abstractNumId="12">
    <w:nsid w:val="E9F39165"/>
    <w:multiLevelType w:val="singleLevel"/>
    <w:tmpl w:val="E9F39165"/>
    <w:lvl w:ilvl="0" w:tentative="0">
      <w:start w:val="1"/>
      <w:numFmt w:val="decimal"/>
      <w:lvlText w:val="%1."/>
      <w:lvlJc w:val="left"/>
      <w:pPr>
        <w:tabs>
          <w:tab w:val="left" w:pos="312"/>
        </w:tabs>
      </w:pPr>
    </w:lvl>
  </w:abstractNum>
  <w:abstractNum w:abstractNumId="13">
    <w:nsid w:val="EEDDF96B"/>
    <w:multiLevelType w:val="singleLevel"/>
    <w:tmpl w:val="EEDDF96B"/>
    <w:lvl w:ilvl="0" w:tentative="0">
      <w:start w:val="6"/>
      <w:numFmt w:val="decimal"/>
      <w:lvlText w:val="%1."/>
      <w:lvlJc w:val="left"/>
      <w:pPr>
        <w:tabs>
          <w:tab w:val="left" w:pos="312"/>
        </w:tabs>
      </w:pPr>
    </w:lvl>
  </w:abstractNum>
  <w:abstractNum w:abstractNumId="14">
    <w:nsid w:val="EFFE493A"/>
    <w:multiLevelType w:val="singleLevel"/>
    <w:tmpl w:val="EFFE493A"/>
    <w:lvl w:ilvl="0" w:tentative="0">
      <w:start w:val="20"/>
      <w:numFmt w:val="decimal"/>
      <w:lvlText w:val="%1."/>
      <w:lvlJc w:val="left"/>
      <w:pPr>
        <w:tabs>
          <w:tab w:val="left" w:pos="312"/>
        </w:tabs>
      </w:pPr>
    </w:lvl>
  </w:abstractNum>
  <w:abstractNum w:abstractNumId="15">
    <w:nsid w:val="F6B5FDAE"/>
    <w:multiLevelType w:val="singleLevel"/>
    <w:tmpl w:val="F6B5FDAE"/>
    <w:lvl w:ilvl="0" w:tentative="0">
      <w:start w:val="1"/>
      <w:numFmt w:val="decimal"/>
      <w:lvlText w:val="%1."/>
      <w:lvlJc w:val="left"/>
      <w:pPr>
        <w:tabs>
          <w:tab w:val="left" w:pos="312"/>
        </w:tabs>
      </w:pPr>
    </w:lvl>
  </w:abstractNum>
  <w:abstractNum w:abstractNumId="16">
    <w:nsid w:val="FBEED77F"/>
    <w:multiLevelType w:val="singleLevel"/>
    <w:tmpl w:val="FBEED77F"/>
    <w:lvl w:ilvl="0" w:tentative="0">
      <w:start w:val="1"/>
      <w:numFmt w:val="decimal"/>
      <w:lvlText w:val="%1."/>
      <w:lvlJc w:val="left"/>
      <w:pPr>
        <w:tabs>
          <w:tab w:val="left" w:pos="312"/>
        </w:tabs>
      </w:pPr>
    </w:lvl>
  </w:abstractNum>
  <w:abstractNum w:abstractNumId="17">
    <w:nsid w:val="4E5699FA"/>
    <w:multiLevelType w:val="singleLevel"/>
    <w:tmpl w:val="4E5699FA"/>
    <w:lvl w:ilvl="0" w:tentative="0">
      <w:start w:val="1"/>
      <w:numFmt w:val="decimal"/>
      <w:suff w:val="space"/>
      <w:lvlText w:val="%1."/>
      <w:lvlJc w:val="left"/>
      <w:pPr>
        <w:ind w:left="-36"/>
      </w:pPr>
    </w:lvl>
  </w:abstractNum>
  <w:abstractNum w:abstractNumId="18">
    <w:nsid w:val="58EA4DA7"/>
    <w:multiLevelType w:val="singleLevel"/>
    <w:tmpl w:val="58EA4DA7"/>
    <w:lvl w:ilvl="0" w:tentative="0">
      <w:start w:val="1"/>
      <w:numFmt w:val="decimal"/>
      <w:lvlText w:val="%1."/>
      <w:lvlJc w:val="left"/>
      <w:pPr>
        <w:tabs>
          <w:tab w:val="left" w:pos="312"/>
        </w:tabs>
      </w:pPr>
    </w:lvl>
  </w:abstractNum>
  <w:abstractNum w:abstractNumId="19">
    <w:nsid w:val="5B59FADB"/>
    <w:multiLevelType w:val="singleLevel"/>
    <w:tmpl w:val="5B59FADB"/>
    <w:lvl w:ilvl="0" w:tentative="0">
      <w:start w:val="1"/>
      <w:numFmt w:val="decimal"/>
      <w:lvlText w:val="%1."/>
      <w:lvlJc w:val="left"/>
      <w:pPr>
        <w:tabs>
          <w:tab w:val="left" w:pos="312"/>
        </w:tabs>
      </w:pPr>
    </w:lvl>
  </w:abstractNum>
  <w:abstractNum w:abstractNumId="20">
    <w:nsid w:val="75BE5D9D"/>
    <w:multiLevelType w:val="singleLevel"/>
    <w:tmpl w:val="75BE5D9D"/>
    <w:lvl w:ilvl="0" w:tentative="0">
      <w:start w:val="1"/>
      <w:numFmt w:val="decimal"/>
      <w:suff w:val="space"/>
      <w:lvlText w:val="%1."/>
      <w:lvlJc w:val="left"/>
    </w:lvl>
  </w:abstractNum>
  <w:num w:numId="1">
    <w:abstractNumId w:val="13"/>
  </w:num>
  <w:num w:numId="2">
    <w:abstractNumId w:val="16"/>
  </w:num>
  <w:num w:numId="3">
    <w:abstractNumId w:val="11"/>
  </w:num>
  <w:num w:numId="4">
    <w:abstractNumId w:val="10"/>
  </w:num>
  <w:num w:numId="5">
    <w:abstractNumId w:val="14"/>
  </w:num>
  <w:num w:numId="6">
    <w:abstractNumId w:val="19"/>
  </w:num>
  <w:num w:numId="7">
    <w:abstractNumId w:val="6"/>
  </w:num>
  <w:num w:numId="8">
    <w:abstractNumId w:val="18"/>
  </w:num>
  <w:num w:numId="9">
    <w:abstractNumId w:val="20"/>
  </w:num>
  <w:num w:numId="10">
    <w:abstractNumId w:val="0"/>
  </w:num>
  <w:num w:numId="11">
    <w:abstractNumId w:val="17"/>
  </w:num>
  <w:num w:numId="12">
    <w:abstractNumId w:val="15"/>
  </w:num>
  <w:num w:numId="13">
    <w:abstractNumId w:val="12"/>
  </w:num>
  <w:num w:numId="14">
    <w:abstractNumId w:val="3"/>
  </w:num>
  <w:num w:numId="15">
    <w:abstractNumId w:val="2"/>
  </w:num>
  <w:num w:numId="16">
    <w:abstractNumId w:val="9"/>
  </w:num>
  <w:num w:numId="17">
    <w:abstractNumId w:val="8"/>
  </w:num>
  <w:num w:numId="18">
    <w:abstractNumId w:val="4"/>
  </w:num>
  <w:num w:numId="19">
    <w:abstractNumId w:val="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B86F85"/>
    <w:rsid w:val="0B792666"/>
    <w:rsid w:val="176A24BD"/>
    <w:rsid w:val="19FF5EE2"/>
    <w:rsid w:val="208C1561"/>
    <w:rsid w:val="21F2131F"/>
    <w:rsid w:val="24B20E20"/>
    <w:rsid w:val="31F56BBA"/>
    <w:rsid w:val="363847A6"/>
    <w:rsid w:val="3CC24650"/>
    <w:rsid w:val="43FD2C16"/>
    <w:rsid w:val="4CAF0250"/>
    <w:rsid w:val="600E490D"/>
    <w:rsid w:val="68E859A4"/>
    <w:rsid w:val="6FEFB3BA"/>
    <w:rsid w:val="7648305C"/>
    <w:rsid w:val="7CFF51F1"/>
    <w:rsid w:val="F32573DA"/>
    <w:rsid w:val="FD5E9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2021-10-16T02:03:00Z</dcterms:created>
  <dc:creator>Administrator</dc:creator>
  <cp:lastModifiedBy>user</cp:lastModifiedBy>
  <cp:lastPrinted>2021-10-26T16:29:00Z</cp:lastPrinted>
  <dcterms:modified xsi:type="dcterms:W3CDTF">2021-11-12T18:13:06Z</dcterms:modified>
  <dc:title>Microsoft Word - 枣政字〔2021〕21 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2021-10-19T16:08:28Z</vt:filetime>
  </property>
  <property fmtid="{D5CDD505-2E9C-101B-9397-08002B2CF9AE}" pid="4" name="KSOProductBuildVer">
    <vt:lpwstr>2052-11.8.2.10290</vt:lpwstr>
  </property>
  <property fmtid="{D5CDD505-2E9C-101B-9397-08002B2CF9AE}" pid="5" name="ICV">
    <vt:lpwstr>8593B13BC2604EA6938EB00FE6B6C734</vt:lpwstr>
  </property>
</Properties>
</file>